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48"/>
          <w:szCs w:val="48"/>
          <w:u w:val="single"/>
        </w:rPr>
      </w:pPr>
    </w:p>
    <w:p>
      <w:pPr>
        <w:pStyle w:val="2"/>
        <w:rPr>
          <w:rFonts w:cs="Times New Roman" w:asciiTheme="minorEastAsia" w:hAnsiTheme="minorEastAsia" w:eastAsiaTheme="minorEastAsia"/>
        </w:rPr>
      </w:pPr>
    </w:p>
    <w:p>
      <w:pPr>
        <w:pStyle w:val="3"/>
        <w:ind w:firstLine="0"/>
        <w:jc w:val="center"/>
        <w:rPr>
          <w:rFonts w:hint="eastAsia" w:cs="宋体" w:asciiTheme="minorEastAsia" w:hAnsiTheme="minorEastAsia" w:eastAsiaTheme="minorEastAsia"/>
          <w:b/>
          <w:bCs/>
          <w:sz w:val="44"/>
          <w:szCs w:val="44"/>
          <w:lang w:eastAsia="zh-CN"/>
        </w:rPr>
      </w:pPr>
      <w:r>
        <w:rPr>
          <w:rFonts w:hint="eastAsia" w:cs="宋体" w:asciiTheme="minorEastAsia" w:hAnsiTheme="minorEastAsia" w:eastAsiaTheme="minorEastAsia"/>
          <w:b/>
          <w:bCs/>
          <w:sz w:val="44"/>
          <w:szCs w:val="44"/>
          <w:lang w:eastAsia="zh-CN"/>
        </w:rPr>
        <w:t>建设大厦食堂设施设备采购</w:t>
      </w:r>
    </w:p>
    <w:p>
      <w:pPr>
        <w:pStyle w:val="3"/>
        <w:rPr>
          <w:rFonts w:asciiTheme="minorEastAsia" w:hAnsiTheme="minorEastAsia" w:eastAsiaTheme="minorEastAsia"/>
          <w:b/>
          <w:bCs/>
          <w:sz w:val="44"/>
          <w:szCs w:val="44"/>
        </w:rPr>
      </w:pPr>
    </w:p>
    <w:p>
      <w:pPr>
        <w:pStyle w:val="3"/>
        <w:rPr>
          <w:rFonts w:asciiTheme="minorEastAsia" w:hAnsiTheme="minorEastAsia" w:eastAsiaTheme="minorEastAsia"/>
          <w:b/>
          <w:bCs/>
          <w:sz w:val="44"/>
          <w:szCs w:val="44"/>
        </w:rPr>
      </w:pPr>
    </w:p>
    <w:p>
      <w:pPr>
        <w:pStyle w:val="3"/>
        <w:rPr>
          <w:rFonts w:asciiTheme="minorEastAsia" w:hAnsiTheme="minorEastAsia" w:eastAsiaTheme="minorEastAsia"/>
          <w:b/>
          <w:bCs/>
          <w:sz w:val="44"/>
          <w:szCs w:val="44"/>
        </w:rPr>
      </w:pPr>
    </w:p>
    <w:p>
      <w:pPr>
        <w:pStyle w:val="3"/>
        <w:rPr>
          <w:rFonts w:asciiTheme="minorEastAsia" w:hAnsiTheme="minorEastAsia" w:eastAsiaTheme="minorEastAsia"/>
        </w:rPr>
      </w:pPr>
    </w:p>
    <w:p>
      <w:pPr>
        <w:spacing w:line="360" w:lineRule="auto"/>
        <w:jc w:val="center"/>
        <w:rPr>
          <w:rFonts w:asciiTheme="minorEastAsia" w:hAnsiTheme="minorEastAsia" w:eastAsiaTheme="minorEastAsia"/>
          <w:b/>
          <w:bCs/>
          <w:sz w:val="24"/>
          <w:szCs w:val="24"/>
        </w:rPr>
      </w:pPr>
      <w:r>
        <w:rPr>
          <w:rFonts w:hint="eastAsia" w:cs="宋体" w:asciiTheme="minorEastAsia" w:hAnsiTheme="minorEastAsia" w:eastAsiaTheme="minorEastAsia"/>
          <w:b/>
          <w:bCs/>
          <w:sz w:val="72"/>
          <w:szCs w:val="72"/>
        </w:rPr>
        <w:t>询价文件</w:t>
      </w:r>
    </w:p>
    <w:p>
      <w:pPr>
        <w:spacing w:line="360" w:lineRule="auto"/>
        <w:jc w:val="center"/>
        <w:rPr>
          <w:rFonts w:asciiTheme="minorEastAsia" w:hAnsiTheme="minorEastAsia" w:eastAsiaTheme="minorEastAsia"/>
          <w:b/>
          <w:bCs/>
          <w:sz w:val="24"/>
          <w:szCs w:val="24"/>
        </w:rPr>
      </w:pPr>
    </w:p>
    <w:p>
      <w:pPr>
        <w:snapToGrid w:val="0"/>
        <w:spacing w:line="360" w:lineRule="auto"/>
        <w:jc w:val="center"/>
        <w:rPr>
          <w:rFonts w:asciiTheme="minorEastAsia" w:hAnsiTheme="minorEastAsia" w:eastAsiaTheme="minorEastAsia"/>
          <w:sz w:val="30"/>
          <w:szCs w:val="30"/>
          <w:u w:val="single"/>
        </w:rPr>
      </w:pPr>
      <w:r>
        <w:rPr>
          <w:rFonts w:hint="eastAsia" w:cs="宋体" w:asciiTheme="minorEastAsia" w:hAnsiTheme="minorEastAsia" w:eastAsiaTheme="minorEastAsia"/>
          <w:sz w:val="30"/>
          <w:szCs w:val="30"/>
        </w:rPr>
        <w:t>项目编号：SXMC2023227</w:t>
      </w:r>
    </w:p>
    <w:p>
      <w:pPr>
        <w:snapToGrid w:val="0"/>
        <w:spacing w:line="360" w:lineRule="auto"/>
        <w:ind w:firstLine="2301" w:firstLineChars="767"/>
        <w:jc w:val="left"/>
        <w:rPr>
          <w:rFonts w:asciiTheme="minorEastAsia" w:hAnsiTheme="minorEastAsia" w:eastAsiaTheme="minorEastAsia"/>
          <w:sz w:val="30"/>
          <w:szCs w:val="30"/>
        </w:rPr>
      </w:pPr>
    </w:p>
    <w:p>
      <w:pPr>
        <w:spacing w:line="360" w:lineRule="auto"/>
        <w:rPr>
          <w:rFonts w:asciiTheme="minorEastAsia" w:hAnsiTheme="minorEastAsia" w:eastAsiaTheme="minorEastAsia"/>
          <w:sz w:val="28"/>
          <w:szCs w:val="28"/>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napToGrid w:val="0"/>
        <w:spacing w:line="360" w:lineRule="auto"/>
        <w:jc w:val="center"/>
        <w:rPr>
          <w:rFonts w:ascii="宋体" w:hAnsi="宋体" w:cs="宋体"/>
          <w:sz w:val="30"/>
          <w:szCs w:val="30"/>
        </w:rPr>
      </w:pPr>
      <w:r>
        <w:rPr>
          <w:rFonts w:hint="eastAsia" w:ascii="宋体" w:hAnsi="宋体" w:cs="宋体"/>
          <w:sz w:val="30"/>
          <w:szCs w:val="30"/>
        </w:rPr>
        <w:t>采购人：</w:t>
      </w:r>
      <w:r>
        <w:rPr>
          <w:rFonts w:hint="eastAsia" w:ascii="宋体" w:hAnsi="宋体" w:cs="宋体"/>
          <w:sz w:val="30"/>
          <w:szCs w:val="30"/>
          <w:lang w:eastAsia="zh-CN"/>
        </w:rPr>
        <w:t>绍兴市上虞</w:t>
      </w:r>
      <w:r>
        <w:rPr>
          <w:rFonts w:hint="eastAsia" w:ascii="宋体" w:hAnsi="宋体" w:cs="宋体"/>
          <w:sz w:val="30"/>
          <w:szCs w:val="30"/>
          <w:lang w:val="en-US" w:eastAsia="zh-CN"/>
        </w:rPr>
        <w:t>城市建设集团</w:t>
      </w:r>
      <w:r>
        <w:rPr>
          <w:rFonts w:hint="eastAsia" w:ascii="宋体" w:hAnsi="宋体" w:cs="宋体"/>
          <w:sz w:val="30"/>
          <w:szCs w:val="30"/>
          <w:lang w:eastAsia="zh-CN"/>
        </w:rPr>
        <w:t>有限公司</w:t>
      </w:r>
      <w:r>
        <w:rPr>
          <w:rFonts w:hint="eastAsia" w:ascii="宋体" w:hAnsi="宋体" w:cs="宋体"/>
          <w:sz w:val="30"/>
          <w:szCs w:val="30"/>
        </w:rPr>
        <w:t xml:space="preserve">  </w:t>
      </w:r>
    </w:p>
    <w:p>
      <w:pPr>
        <w:snapToGrid w:val="0"/>
        <w:spacing w:line="360" w:lineRule="auto"/>
        <w:jc w:val="center"/>
        <w:rPr>
          <w:rFonts w:ascii="宋体" w:hAnsi="宋体" w:cs="宋体"/>
          <w:sz w:val="30"/>
          <w:szCs w:val="30"/>
        </w:rPr>
      </w:pPr>
      <w:r>
        <w:rPr>
          <w:rFonts w:hint="eastAsia" w:ascii="宋体" w:hAnsi="宋体" w:cs="宋体"/>
          <w:sz w:val="30"/>
          <w:szCs w:val="30"/>
        </w:rPr>
        <w:t>采购代理机构：绍兴明晨建设项目管理有限公司</w:t>
      </w:r>
    </w:p>
    <w:p>
      <w:pPr>
        <w:jc w:val="center"/>
        <w:rPr>
          <w:rFonts w:ascii="宋体" w:hAnsi="宋体" w:cs="宋体"/>
          <w:sz w:val="30"/>
          <w:szCs w:val="30"/>
        </w:rPr>
        <w:sectPr>
          <w:pgSz w:w="11906" w:h="16838"/>
          <w:pgMar w:top="1440" w:right="1080" w:bottom="1440" w:left="1080" w:header="851" w:footer="992" w:gutter="0"/>
          <w:cols w:space="425" w:num="1"/>
          <w:docGrid w:type="lines" w:linePitch="312" w:charSpace="0"/>
        </w:sectPr>
      </w:pPr>
      <w:r>
        <w:rPr>
          <w:rFonts w:hint="eastAsia" w:ascii="宋体" w:hAnsi="宋体" w:cs="宋体"/>
          <w:sz w:val="30"/>
          <w:szCs w:val="30"/>
        </w:rPr>
        <w:t>二0二三年五月</w:t>
      </w:r>
    </w:p>
    <w:p>
      <w:pPr>
        <w:spacing w:line="360" w:lineRule="auto"/>
        <w:jc w:val="center"/>
        <w:rPr>
          <w:rFonts w:ascii="宋体" w:hAnsi="宋体" w:cs="宋体"/>
          <w:sz w:val="30"/>
          <w:szCs w:val="30"/>
        </w:rPr>
      </w:pPr>
      <w:r>
        <w:rPr>
          <w:rFonts w:hint="eastAsia" w:ascii="宋体" w:hAnsi="宋体" w:cs="宋体"/>
          <w:sz w:val="30"/>
          <w:szCs w:val="30"/>
        </w:rPr>
        <w:t>目录</w:t>
      </w:r>
    </w:p>
    <w:p>
      <w:pPr>
        <w:pStyle w:val="20"/>
        <w:tabs>
          <w:tab w:val="right" w:leader="dot" w:pos="8296"/>
        </w:tabs>
        <w:spacing w:line="480" w:lineRule="auto"/>
        <w:rPr>
          <w:rFonts w:asciiTheme="minorHAnsi" w:hAnsiTheme="minorHAnsi" w:eastAsiaTheme="minorEastAsia" w:cstheme="minorBidi"/>
          <w:kern w:val="2"/>
          <w:sz w:val="21"/>
          <w:szCs w:val="22"/>
        </w:rPr>
      </w:pPr>
      <w:r>
        <w:rPr>
          <w:rFonts w:hint="eastAsia" w:cs="宋体" w:asciiTheme="minorEastAsia" w:hAnsiTheme="minorEastAsia" w:eastAsiaTheme="minorEastAsia"/>
          <w:sz w:val="24"/>
          <w:szCs w:val="24"/>
        </w:rPr>
        <w:fldChar w:fldCharType="begin"/>
      </w:r>
      <w:r>
        <w:rPr>
          <w:rFonts w:hint="eastAsia" w:cs="宋体" w:asciiTheme="minorEastAsia" w:hAnsiTheme="minorEastAsia" w:eastAsiaTheme="minorEastAsia"/>
          <w:sz w:val="24"/>
          <w:szCs w:val="24"/>
        </w:rPr>
        <w:instrText xml:space="preserve">TOC \o "1-3" \h \u </w:instrText>
      </w:r>
      <w:r>
        <w:rPr>
          <w:rFonts w:hint="eastAsia" w:cs="宋体" w:asciiTheme="minorEastAsia" w:hAnsiTheme="minorEastAsia" w:eastAsiaTheme="minorEastAsia"/>
          <w:sz w:val="24"/>
          <w:szCs w:val="24"/>
        </w:rPr>
        <w:fldChar w:fldCharType="separate"/>
      </w:r>
      <w:r>
        <w:fldChar w:fldCharType="begin"/>
      </w:r>
      <w:r>
        <w:instrText xml:space="preserve"> HYPERLINK \l "_Toc110244145" </w:instrText>
      </w:r>
      <w:r>
        <w:fldChar w:fldCharType="separate"/>
      </w:r>
      <w:r>
        <w:rPr>
          <w:rStyle w:val="31"/>
          <w:rFonts w:hint="eastAsia" w:cs="宋体" w:asciiTheme="minorEastAsia" w:hAnsiTheme="minorEastAsia"/>
          <w:color w:val="auto"/>
        </w:rPr>
        <w:t>第一部分询价公告</w:t>
      </w:r>
      <w:r>
        <w:tab/>
      </w:r>
      <w:r>
        <w:fldChar w:fldCharType="begin"/>
      </w:r>
      <w:r>
        <w:instrText xml:space="preserve"> PAGEREF _Toc110244145 \h </w:instrText>
      </w:r>
      <w:r>
        <w:fldChar w:fldCharType="separate"/>
      </w:r>
      <w:r>
        <w:t>2</w:t>
      </w:r>
      <w:r>
        <w:fldChar w:fldCharType="end"/>
      </w:r>
      <w:r>
        <w:fldChar w:fldCharType="end"/>
      </w:r>
    </w:p>
    <w:p>
      <w:pPr>
        <w:pStyle w:val="20"/>
        <w:tabs>
          <w:tab w:val="right" w:leader="dot" w:pos="8296"/>
        </w:tabs>
        <w:spacing w:line="480" w:lineRule="auto"/>
        <w:rPr>
          <w:rFonts w:asciiTheme="minorHAnsi" w:hAnsiTheme="minorHAnsi" w:eastAsiaTheme="minorEastAsia" w:cstheme="minorBidi"/>
          <w:kern w:val="2"/>
          <w:sz w:val="21"/>
          <w:szCs w:val="22"/>
        </w:rPr>
      </w:pPr>
      <w:r>
        <w:fldChar w:fldCharType="begin"/>
      </w:r>
      <w:r>
        <w:instrText xml:space="preserve"> HYPERLINK \l "_Toc110244146" </w:instrText>
      </w:r>
      <w:r>
        <w:fldChar w:fldCharType="separate"/>
      </w:r>
      <w:r>
        <w:rPr>
          <w:rStyle w:val="31"/>
          <w:rFonts w:hint="eastAsia" w:cs="宋体" w:asciiTheme="minorEastAsia" w:hAnsiTheme="minorEastAsia"/>
          <w:bCs/>
          <w:color w:val="auto"/>
          <w:kern w:val="44"/>
        </w:rPr>
        <w:t>第二部分供应商须知</w:t>
      </w:r>
      <w:r>
        <w:tab/>
      </w:r>
      <w:r>
        <w:fldChar w:fldCharType="begin"/>
      </w:r>
      <w:r>
        <w:instrText xml:space="preserve"> PAGEREF _Toc110244146 \h </w:instrText>
      </w:r>
      <w:r>
        <w:fldChar w:fldCharType="separate"/>
      </w:r>
      <w:r>
        <w:t>6</w:t>
      </w:r>
      <w:r>
        <w:fldChar w:fldCharType="end"/>
      </w:r>
      <w:r>
        <w:fldChar w:fldCharType="end"/>
      </w:r>
    </w:p>
    <w:p>
      <w:pPr>
        <w:pStyle w:val="21"/>
        <w:tabs>
          <w:tab w:val="right" w:leader="dot" w:pos="8296"/>
        </w:tabs>
        <w:spacing w:line="480" w:lineRule="auto"/>
        <w:ind w:left="400"/>
        <w:rPr>
          <w:rFonts w:hint="eastAsia" w:eastAsia="宋体" w:asciiTheme="minorHAnsi" w:hAnsiTheme="minorHAnsi" w:cstheme="minorBidi"/>
          <w:kern w:val="2"/>
          <w:sz w:val="21"/>
          <w:szCs w:val="22"/>
          <w:lang w:eastAsia="zh-CN"/>
        </w:rPr>
      </w:pPr>
      <w:r>
        <w:fldChar w:fldCharType="begin"/>
      </w:r>
      <w:r>
        <w:instrText xml:space="preserve"> HYPERLINK \l "_Toc110244147" </w:instrText>
      </w:r>
      <w:r>
        <w:fldChar w:fldCharType="separate"/>
      </w:r>
      <w:r>
        <w:rPr>
          <w:rStyle w:val="31"/>
          <w:rFonts w:hint="eastAsia" w:asciiTheme="minorEastAsia" w:hAnsiTheme="minorEastAsia"/>
          <w:color w:val="auto"/>
        </w:rPr>
        <w:t>一、 总则</w:t>
      </w:r>
      <w:r>
        <w:tab/>
      </w:r>
      <w:r>
        <w:fldChar w:fldCharType="end"/>
      </w:r>
      <w:r>
        <w:rPr>
          <w:rFonts w:hint="eastAsia"/>
          <w:lang w:val="en-US" w:eastAsia="zh-CN"/>
        </w:rPr>
        <w:t>9</w:t>
      </w:r>
    </w:p>
    <w:p>
      <w:pPr>
        <w:pStyle w:val="21"/>
        <w:tabs>
          <w:tab w:val="right" w:leader="dot" w:pos="8296"/>
        </w:tabs>
        <w:spacing w:line="480" w:lineRule="auto"/>
        <w:ind w:left="400"/>
        <w:rPr>
          <w:rFonts w:hint="eastAsia" w:eastAsia="宋体" w:asciiTheme="minorHAnsi" w:hAnsiTheme="minorHAnsi" w:cstheme="minorBidi"/>
          <w:kern w:val="2"/>
          <w:sz w:val="21"/>
          <w:szCs w:val="22"/>
          <w:lang w:eastAsia="zh-CN"/>
        </w:rPr>
      </w:pPr>
      <w:r>
        <w:fldChar w:fldCharType="begin"/>
      </w:r>
      <w:r>
        <w:instrText xml:space="preserve"> HYPERLINK \l "_Toc110244148" </w:instrText>
      </w:r>
      <w:r>
        <w:fldChar w:fldCharType="separate"/>
      </w:r>
      <w:r>
        <w:rPr>
          <w:rStyle w:val="31"/>
          <w:rFonts w:hint="eastAsia" w:asciiTheme="minorEastAsia" w:hAnsiTheme="minorEastAsia"/>
          <w:color w:val="auto"/>
        </w:rPr>
        <w:t>二、 询价文件</w:t>
      </w:r>
      <w:r>
        <w:tab/>
      </w:r>
      <w:r>
        <w:fldChar w:fldCharType="end"/>
      </w:r>
      <w:r>
        <w:rPr>
          <w:rFonts w:hint="eastAsia"/>
          <w:lang w:val="en-US" w:eastAsia="zh-CN"/>
        </w:rPr>
        <w:t>9</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"_Toc110244149" </w:instrText>
      </w:r>
      <w:r>
        <w:fldChar w:fldCharType="separate"/>
      </w:r>
      <w:r>
        <w:rPr>
          <w:rStyle w:val="31"/>
          <w:rFonts w:hint="eastAsia" w:asciiTheme="minorEastAsia" w:hAnsiTheme="minorEastAsia"/>
          <w:color w:val="auto"/>
        </w:rPr>
        <w:t>三、 询价响应文件的编写</w:t>
      </w:r>
      <w:r>
        <w:tab/>
      </w:r>
      <w:r>
        <w:fldChar w:fldCharType="end"/>
      </w:r>
      <w:r>
        <w:rPr>
          <w:rFonts w:hint="eastAsia"/>
          <w:lang w:val="en-US" w:eastAsia="zh-CN"/>
        </w:rPr>
        <w:t>10</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"_Toc110244150" </w:instrText>
      </w:r>
      <w:r>
        <w:fldChar w:fldCharType="separate"/>
      </w:r>
      <w:r>
        <w:rPr>
          <w:rStyle w:val="31"/>
          <w:rFonts w:hint="eastAsia" w:asciiTheme="minorEastAsia" w:hAnsiTheme="minorEastAsia"/>
          <w:color w:val="auto"/>
        </w:rPr>
        <w:t>四、 响应文件的递交</w:t>
      </w:r>
      <w:r>
        <w:tab/>
      </w:r>
      <w:r>
        <w:fldChar w:fldCharType="end"/>
      </w:r>
      <w:r>
        <w:rPr>
          <w:rFonts w:hint="eastAsia"/>
          <w:lang w:val="en-US" w:eastAsia="zh-CN"/>
        </w:rPr>
        <w:t>13</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"_Toc110244151" </w:instrText>
      </w:r>
      <w:r>
        <w:fldChar w:fldCharType="separate"/>
      </w:r>
      <w:r>
        <w:rPr>
          <w:rStyle w:val="31"/>
          <w:rFonts w:hint="eastAsia" w:asciiTheme="minorEastAsia" w:hAnsiTheme="minorEastAsia"/>
          <w:color w:val="auto"/>
        </w:rPr>
        <w:t>五、 询价无效的情形</w:t>
      </w:r>
      <w:r>
        <w:tab/>
      </w:r>
      <w:r>
        <w:fldChar w:fldCharType="end"/>
      </w:r>
      <w:r>
        <w:rPr>
          <w:rFonts w:hint="eastAsia"/>
          <w:lang w:val="en-US" w:eastAsia="zh-CN"/>
        </w:rPr>
        <w:t>14</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"_Toc110244152" </w:instrText>
      </w:r>
      <w:r>
        <w:fldChar w:fldCharType="separate"/>
      </w:r>
      <w:r>
        <w:rPr>
          <w:rStyle w:val="31"/>
          <w:rFonts w:hint="eastAsia" w:asciiTheme="minorEastAsia" w:hAnsiTheme="minorEastAsia"/>
          <w:color w:val="auto"/>
        </w:rPr>
        <w:t>六、 采购中止的情形</w:t>
      </w:r>
      <w:r>
        <w:tab/>
      </w:r>
      <w:r>
        <w:fldChar w:fldCharType="end"/>
      </w:r>
      <w:r>
        <w:rPr>
          <w:rFonts w:hint="eastAsia"/>
          <w:lang w:val="en-US" w:eastAsia="zh-CN"/>
        </w:rPr>
        <w:t>15</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"_Toc110244153" </w:instrText>
      </w:r>
      <w:r>
        <w:fldChar w:fldCharType="separate"/>
      </w:r>
      <w:r>
        <w:rPr>
          <w:rStyle w:val="31"/>
          <w:rFonts w:hint="eastAsia" w:asciiTheme="minorEastAsia" w:hAnsiTheme="minorEastAsia"/>
          <w:color w:val="auto"/>
        </w:rPr>
        <w:t>七、 授予合同</w:t>
      </w:r>
      <w:r>
        <w:tab/>
      </w:r>
      <w:r>
        <w:fldChar w:fldCharType="end"/>
      </w:r>
      <w:r>
        <w:rPr>
          <w:rFonts w:hint="eastAsia"/>
          <w:lang w:val="en-US" w:eastAsia="zh-CN"/>
        </w:rPr>
        <w:t>15</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"_Toc110244154" </w:instrText>
      </w:r>
      <w:r>
        <w:fldChar w:fldCharType="separate"/>
      </w:r>
      <w:r>
        <w:rPr>
          <w:rStyle w:val="31"/>
          <w:rFonts w:hint="eastAsia" w:asciiTheme="minorEastAsia" w:hAnsiTheme="minorEastAsia"/>
          <w:color w:val="auto"/>
        </w:rPr>
        <w:t>第三部分</w:t>
      </w:r>
      <w:r>
        <w:rPr>
          <w:rStyle w:val="31"/>
          <w:rFonts w:hint="eastAsia" w:cs="宋体" w:asciiTheme="minorEastAsia" w:hAnsiTheme="minorEastAsia"/>
          <w:color w:val="auto"/>
        </w:rPr>
        <w:t>采购内容及要求</w:t>
      </w:r>
      <w:r>
        <w:tab/>
      </w:r>
      <w:r>
        <w:fldChar w:fldCharType="end"/>
      </w:r>
      <w:r>
        <w:rPr>
          <w:rFonts w:hint="eastAsia"/>
          <w:lang w:val="en-US" w:eastAsia="zh-CN"/>
        </w:rPr>
        <w:t>17</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"_Toc110244164" </w:instrText>
      </w:r>
      <w:r>
        <w:fldChar w:fldCharType="separate"/>
      </w:r>
      <w:r>
        <w:rPr>
          <w:rStyle w:val="31"/>
          <w:rFonts w:hint="eastAsia" w:cs="宋体" w:asciiTheme="minorEastAsia" w:hAnsiTheme="minorEastAsia"/>
          <w:color w:val="auto"/>
        </w:rPr>
        <w:t>第四部分询价细则及询价方法</w:t>
      </w:r>
      <w:r>
        <w:tab/>
      </w:r>
      <w:r>
        <w:fldChar w:fldCharType="end"/>
      </w:r>
      <w:r>
        <w:rPr>
          <w:rFonts w:hint="eastAsia"/>
          <w:lang w:val="en-US" w:eastAsia="zh-CN"/>
        </w:rPr>
        <w:t>37</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"_Toc110244165" </w:instrText>
      </w:r>
      <w:r>
        <w:fldChar w:fldCharType="separate"/>
      </w:r>
      <w:r>
        <w:rPr>
          <w:rStyle w:val="31"/>
          <w:rFonts w:hint="eastAsia" w:asciiTheme="minorEastAsia" w:hAnsiTheme="minorEastAsia"/>
          <w:color w:val="auto"/>
        </w:rPr>
        <w:t>一、 询价原则</w:t>
      </w:r>
      <w:r>
        <w:tab/>
      </w:r>
      <w:r>
        <w:fldChar w:fldCharType="end"/>
      </w:r>
      <w:r>
        <w:rPr>
          <w:rFonts w:hint="eastAsia"/>
          <w:lang w:val="en-US" w:eastAsia="zh-CN"/>
        </w:rPr>
        <w:t>37</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"_Toc110244166" </w:instrText>
      </w:r>
      <w:r>
        <w:fldChar w:fldCharType="separate"/>
      </w:r>
      <w:r>
        <w:rPr>
          <w:rStyle w:val="31"/>
          <w:rFonts w:hint="eastAsia" w:asciiTheme="minorEastAsia" w:hAnsiTheme="minorEastAsia"/>
          <w:color w:val="auto"/>
        </w:rPr>
        <w:t>二、 询价程序</w:t>
      </w:r>
      <w:r>
        <w:tab/>
      </w:r>
      <w:r>
        <w:fldChar w:fldCharType="end"/>
      </w:r>
      <w:r>
        <w:rPr>
          <w:rFonts w:hint="eastAsia"/>
          <w:lang w:val="en-US" w:eastAsia="zh-CN"/>
        </w:rPr>
        <w:t>37</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"_Toc110244167" </w:instrText>
      </w:r>
      <w:r>
        <w:fldChar w:fldCharType="separate"/>
      </w:r>
      <w:r>
        <w:rPr>
          <w:rStyle w:val="31"/>
          <w:rFonts w:hint="eastAsia" w:asciiTheme="minorEastAsia" w:hAnsiTheme="minorEastAsia"/>
          <w:color w:val="auto"/>
        </w:rPr>
        <w:t>三、 注意事项</w:t>
      </w:r>
      <w:r>
        <w:tab/>
      </w:r>
      <w:r>
        <w:fldChar w:fldCharType="end"/>
      </w:r>
      <w:r>
        <w:rPr>
          <w:rFonts w:hint="eastAsia"/>
          <w:lang w:val="en-US" w:eastAsia="zh-CN"/>
        </w:rPr>
        <w:t>39</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"_Toc110244168" </w:instrText>
      </w:r>
      <w:r>
        <w:fldChar w:fldCharType="separate"/>
      </w:r>
      <w:r>
        <w:rPr>
          <w:rStyle w:val="31"/>
          <w:rFonts w:hint="eastAsia" w:asciiTheme="minorEastAsia" w:hAnsiTheme="minorEastAsia"/>
          <w:color w:val="auto"/>
        </w:rPr>
        <w:t>四、 评分细则</w:t>
      </w:r>
      <w:r>
        <w:tab/>
      </w:r>
      <w:r>
        <w:fldChar w:fldCharType="end"/>
      </w:r>
      <w:r>
        <w:rPr>
          <w:rFonts w:hint="eastAsia"/>
          <w:lang w:val="en-US" w:eastAsia="zh-CN"/>
        </w:rPr>
        <w:t>39</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"_Toc110244169" </w:instrText>
      </w:r>
      <w:r>
        <w:fldChar w:fldCharType="separate"/>
      </w:r>
      <w:r>
        <w:rPr>
          <w:rStyle w:val="31"/>
          <w:rFonts w:hint="eastAsia" w:cs="宋体" w:asciiTheme="minorEastAsia" w:hAnsiTheme="minorEastAsia"/>
          <w:color w:val="auto"/>
        </w:rPr>
        <w:t>第五部分采购合同</w:t>
      </w:r>
      <w:r>
        <w:tab/>
      </w:r>
      <w:r>
        <w:fldChar w:fldCharType="end"/>
      </w:r>
      <w:r>
        <w:rPr>
          <w:rFonts w:hint="eastAsia"/>
          <w:lang w:val="en-US" w:eastAsia="zh-CN"/>
        </w:rPr>
        <w:t>41</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"_Toc110244180" </w:instrText>
      </w:r>
      <w:r>
        <w:fldChar w:fldCharType="separate"/>
      </w:r>
      <w:r>
        <w:rPr>
          <w:rStyle w:val="31"/>
          <w:rFonts w:hint="eastAsia" w:cs="宋体" w:asciiTheme="minorEastAsia" w:hAnsiTheme="minorEastAsia"/>
          <w:color w:val="auto"/>
        </w:rPr>
        <w:t>第六部分应提交的有关格式范例</w:t>
      </w:r>
      <w:r>
        <w:tab/>
      </w:r>
      <w:r>
        <w:fldChar w:fldCharType="end"/>
      </w:r>
      <w:r>
        <w:rPr>
          <w:rFonts w:hint="eastAsia"/>
          <w:lang w:val="en-US" w:eastAsia="zh-CN"/>
        </w:rPr>
        <w:t>47</w:t>
      </w:r>
    </w:p>
    <w:p>
      <w:pPr>
        <w:pStyle w:val="2"/>
        <w:spacing w:line="360" w:lineRule="auto"/>
        <w:rPr>
          <w:rFonts w:cs="Times New Roman" w:asciiTheme="minorEastAsia" w:hAnsiTheme="minorEastAsia" w:eastAsiaTheme="minorEastAsia"/>
        </w:rPr>
      </w:pPr>
      <w:r>
        <w:rPr>
          <w:rFonts w:hint="eastAsia" w:asciiTheme="minorEastAsia" w:hAnsiTheme="minorEastAsia" w:eastAsiaTheme="minorEastAsia"/>
          <w:szCs w:val="24"/>
        </w:rPr>
        <w:fldChar w:fldCharType="end"/>
      </w:r>
    </w:p>
    <w:p>
      <w:pPr>
        <w:pStyle w:val="2"/>
        <w:spacing w:line="360" w:lineRule="auto"/>
        <w:rPr>
          <w:rFonts w:cs="Times New Roman"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tabs>
          <w:tab w:val="left" w:pos="3148"/>
        </w:tabs>
        <w:jc w:val="left"/>
        <w:rPr>
          <w:rFonts w:asciiTheme="minorEastAsia" w:hAnsiTheme="minorEastAsia" w:eastAsiaTheme="minorEastAsia"/>
        </w:rPr>
        <w:sectPr>
          <w:footerReference r:id="rId3" w:type="default"/>
          <w:pgSz w:w="11906" w:h="16838"/>
          <w:pgMar w:top="1440" w:right="1800" w:bottom="1440" w:left="1800" w:header="851" w:footer="992" w:gutter="0"/>
          <w:pgNumType w:start="1"/>
          <w:cols w:space="425" w:num="1"/>
          <w:docGrid w:type="lines" w:linePitch="312" w:charSpace="0"/>
        </w:sectPr>
      </w:pPr>
    </w:p>
    <w:p>
      <w:pPr>
        <w:pStyle w:val="5"/>
        <w:jc w:val="center"/>
        <w:rPr>
          <w:rFonts w:cs="Times New Roman" w:asciiTheme="minorEastAsia" w:hAnsiTheme="minorEastAsia" w:eastAsiaTheme="minorEastAsia"/>
        </w:rPr>
      </w:pPr>
      <w:bookmarkStart w:id="0" w:name="_Toc31034"/>
      <w:bookmarkStart w:id="1" w:name="_Toc110244145"/>
      <w:bookmarkStart w:id="2" w:name="_Toc32199"/>
      <w:bookmarkStart w:id="3" w:name="_Toc91899870"/>
      <w:bookmarkStart w:id="4" w:name="第二部分"/>
      <w:r>
        <w:rPr>
          <w:rFonts w:hint="eastAsia" w:cs="宋体" w:asciiTheme="minorEastAsia" w:hAnsiTheme="minorEastAsia" w:eastAsiaTheme="minorEastAsia"/>
          <w:sz w:val="36"/>
          <w:szCs w:val="36"/>
        </w:rPr>
        <w:t>第一部分询价公告</w:t>
      </w:r>
      <w:bookmarkEnd w:id="0"/>
      <w:bookmarkEnd w:id="1"/>
      <w:bookmarkEnd w:id="2"/>
    </w:p>
    <w:p>
      <w:pPr>
        <w:adjustRightInd w:val="0"/>
        <w:snapToGrid w:val="0"/>
        <w:spacing w:line="276" w:lineRule="auto"/>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绍兴明晨建设项目管理有限公司关于</w:t>
      </w:r>
      <w:r>
        <w:rPr>
          <w:rFonts w:hint="eastAsia" w:cs="宋体" w:asciiTheme="minorEastAsia" w:hAnsiTheme="minorEastAsia" w:eastAsiaTheme="minorEastAsia"/>
          <w:sz w:val="28"/>
          <w:szCs w:val="28"/>
          <w:lang w:eastAsia="zh-CN"/>
        </w:rPr>
        <w:t>绍兴市上虞</w:t>
      </w:r>
      <w:r>
        <w:rPr>
          <w:rFonts w:hint="eastAsia" w:cs="宋体" w:asciiTheme="minorEastAsia" w:hAnsiTheme="minorEastAsia" w:eastAsiaTheme="minorEastAsia"/>
          <w:sz w:val="28"/>
          <w:szCs w:val="28"/>
          <w:lang w:val="en-US" w:eastAsia="zh-CN"/>
        </w:rPr>
        <w:t>城市建设集团</w:t>
      </w:r>
      <w:r>
        <w:rPr>
          <w:rFonts w:hint="eastAsia" w:cs="宋体" w:asciiTheme="minorEastAsia" w:hAnsiTheme="minorEastAsia" w:eastAsiaTheme="minorEastAsia"/>
          <w:sz w:val="28"/>
          <w:szCs w:val="28"/>
          <w:lang w:eastAsia="zh-CN"/>
        </w:rPr>
        <w:t>有限公司建设大厦食堂设施设备采购</w:t>
      </w:r>
      <w:r>
        <w:rPr>
          <w:rFonts w:hint="eastAsia" w:cs="宋体" w:asciiTheme="minorEastAsia" w:hAnsiTheme="minorEastAsia" w:eastAsiaTheme="minorEastAsia"/>
          <w:sz w:val="28"/>
          <w:szCs w:val="28"/>
        </w:rPr>
        <w:t>的非政府采购询价公告</w:t>
      </w:r>
    </w:p>
    <w:p>
      <w:pPr>
        <w:adjustRightInd w:val="0"/>
        <w:snapToGrid w:val="0"/>
        <w:spacing w:line="276" w:lineRule="auto"/>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公告日期：</w:t>
      </w:r>
      <w:r>
        <w:rPr>
          <w:rFonts w:cs="宋体" w:asciiTheme="minorEastAsia" w:hAnsiTheme="minorEastAsia" w:eastAsiaTheme="minorEastAsia"/>
          <w:sz w:val="28"/>
          <w:szCs w:val="28"/>
        </w:rPr>
        <w:t>20</w:t>
      </w:r>
      <w:r>
        <w:rPr>
          <w:rFonts w:hint="eastAsia" w:cs="宋体" w:asciiTheme="minorEastAsia" w:hAnsiTheme="minorEastAsia" w:eastAsiaTheme="minorEastAsia"/>
          <w:sz w:val="28"/>
          <w:szCs w:val="28"/>
        </w:rPr>
        <w:t>23</w:t>
      </w:r>
      <w:r>
        <w:rPr>
          <w:rFonts w:hint="eastAsia" w:cs="宋体" w:asciiTheme="minorEastAsia" w:hAnsiTheme="minorEastAsia" w:eastAsiaTheme="minorEastAsia"/>
          <w:color w:val="auto"/>
          <w:sz w:val="28"/>
          <w:szCs w:val="28"/>
        </w:rPr>
        <w:t>年5月</w:t>
      </w:r>
      <w:r>
        <w:rPr>
          <w:rFonts w:hint="eastAsia" w:cs="宋体" w:asciiTheme="minorEastAsia" w:hAnsiTheme="minorEastAsia" w:eastAsiaTheme="minorEastAsia"/>
          <w:color w:val="auto"/>
          <w:sz w:val="28"/>
          <w:szCs w:val="28"/>
          <w:lang w:val="en-US" w:eastAsia="zh-CN"/>
        </w:rPr>
        <w:t>26</w:t>
      </w:r>
      <w:r>
        <w:rPr>
          <w:rFonts w:hint="eastAsia" w:cs="宋体" w:asciiTheme="minorEastAsia" w:hAnsiTheme="minorEastAsia" w:eastAsiaTheme="minorEastAsia"/>
          <w:color w:val="auto"/>
          <w:sz w:val="28"/>
          <w:szCs w:val="28"/>
        </w:rPr>
        <w:t>日</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参照《上虞区区属国有企业货物和服务采购管理办法》等有关规定，</w:t>
      </w:r>
      <w:r>
        <w:rPr>
          <w:rFonts w:hint="eastAsia" w:cs="宋体" w:asciiTheme="minorEastAsia" w:hAnsiTheme="minorEastAsia" w:eastAsiaTheme="minorEastAsia"/>
          <w:sz w:val="24"/>
          <w:szCs w:val="24"/>
          <w:u w:val="single"/>
        </w:rPr>
        <w:t>绍兴明晨建设项目管理有限公司</w:t>
      </w:r>
      <w:r>
        <w:rPr>
          <w:rFonts w:hint="eastAsia" w:cs="宋体" w:asciiTheme="minorEastAsia" w:hAnsiTheme="minorEastAsia" w:eastAsiaTheme="minorEastAsia"/>
          <w:sz w:val="24"/>
          <w:szCs w:val="24"/>
        </w:rPr>
        <w:t>受</w:t>
      </w:r>
      <w:r>
        <w:rPr>
          <w:rFonts w:hint="eastAsia" w:cs="宋体" w:asciiTheme="minorEastAsia" w:hAnsiTheme="minorEastAsia" w:eastAsiaTheme="minorEastAsia"/>
          <w:sz w:val="24"/>
          <w:szCs w:val="24"/>
          <w:u w:val="single"/>
          <w:lang w:eastAsia="zh-CN"/>
        </w:rPr>
        <w:t>绍兴市上虞</w:t>
      </w:r>
      <w:r>
        <w:rPr>
          <w:rFonts w:hint="eastAsia" w:cs="宋体" w:asciiTheme="minorEastAsia" w:hAnsiTheme="minorEastAsia" w:eastAsiaTheme="minorEastAsia"/>
          <w:sz w:val="24"/>
          <w:szCs w:val="24"/>
          <w:u w:val="single"/>
          <w:lang w:val="en-US" w:eastAsia="zh-CN"/>
        </w:rPr>
        <w:t>城市建设集团</w:t>
      </w:r>
      <w:r>
        <w:rPr>
          <w:rFonts w:hint="eastAsia" w:cs="宋体" w:asciiTheme="minorEastAsia" w:hAnsiTheme="minorEastAsia" w:eastAsiaTheme="minorEastAsia"/>
          <w:sz w:val="24"/>
          <w:szCs w:val="24"/>
          <w:u w:val="single"/>
          <w:lang w:eastAsia="zh-CN"/>
        </w:rPr>
        <w:t>有限公司</w:t>
      </w:r>
      <w:r>
        <w:rPr>
          <w:rFonts w:hint="eastAsia" w:cs="宋体" w:asciiTheme="minorEastAsia" w:hAnsiTheme="minorEastAsia" w:eastAsiaTheme="minorEastAsia"/>
          <w:sz w:val="24"/>
          <w:szCs w:val="24"/>
        </w:rPr>
        <w:t>委托，现就</w:t>
      </w:r>
      <w:r>
        <w:rPr>
          <w:rFonts w:hint="eastAsia" w:cs="宋体" w:asciiTheme="minorEastAsia" w:hAnsiTheme="minorEastAsia" w:eastAsiaTheme="minorEastAsia"/>
          <w:sz w:val="24"/>
          <w:szCs w:val="24"/>
          <w:u w:val="single"/>
          <w:lang w:eastAsia="zh-CN"/>
        </w:rPr>
        <w:t>建设大厦食堂设施设备采购</w:t>
      </w:r>
      <w:r>
        <w:rPr>
          <w:rFonts w:hint="eastAsia" w:cs="宋体" w:asciiTheme="minorEastAsia" w:hAnsiTheme="minorEastAsia" w:eastAsiaTheme="minorEastAsia"/>
          <w:sz w:val="24"/>
          <w:szCs w:val="24"/>
        </w:rPr>
        <w:t>进行询价采购，欢迎国内合格的供应商参加本次采购活动。</w:t>
      </w:r>
    </w:p>
    <w:p>
      <w:pPr>
        <w:adjustRightInd w:val="0"/>
        <w:spacing w:line="360" w:lineRule="auto"/>
        <w:ind w:firstLine="480" w:firstLineChars="20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一</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项目编号：</w:t>
      </w:r>
      <w:r>
        <w:rPr>
          <w:rFonts w:hint="eastAsia" w:cs="宋体" w:asciiTheme="minorEastAsia" w:hAnsiTheme="minorEastAsia" w:eastAsiaTheme="minorEastAsia"/>
          <w:sz w:val="24"/>
          <w:szCs w:val="24"/>
          <w:u w:val="single"/>
        </w:rPr>
        <w:t>SXMC2023227</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二</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采购组织类型：</w:t>
      </w:r>
      <w:r>
        <w:rPr>
          <w:rFonts w:hint="eastAsia" w:cs="宋体" w:asciiTheme="minorEastAsia" w:hAnsiTheme="minorEastAsia" w:eastAsiaTheme="minorEastAsia"/>
          <w:sz w:val="24"/>
          <w:szCs w:val="24"/>
          <w:u w:val="single"/>
        </w:rPr>
        <w:t>询价</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三</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项目概况</w:t>
      </w:r>
      <w:r>
        <w:rPr>
          <w:rFonts w:cs="宋体" w:asciiTheme="minorEastAsia" w:hAnsiTheme="minorEastAsia" w:eastAsiaTheme="minorEastAsia"/>
          <w:sz w:val="24"/>
          <w:szCs w:val="24"/>
        </w:rPr>
        <w:t>:</w:t>
      </w:r>
    </w:p>
    <w:tbl>
      <w:tblPr>
        <w:tblStyle w:val="26"/>
        <w:tblW w:w="10223"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763"/>
        <w:gridCol w:w="2850"/>
        <w:gridCol w:w="850"/>
        <w:gridCol w:w="709"/>
        <w:gridCol w:w="992"/>
        <w:gridCol w:w="2254"/>
        <w:gridCol w:w="1026"/>
        <w:gridCol w:w="779"/>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763"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序号</w:t>
            </w:r>
          </w:p>
        </w:tc>
        <w:tc>
          <w:tcPr>
            <w:tcW w:w="2850"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p>
        </w:tc>
        <w:tc>
          <w:tcPr>
            <w:tcW w:w="850"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数量</w:t>
            </w:r>
          </w:p>
        </w:tc>
        <w:tc>
          <w:tcPr>
            <w:tcW w:w="709"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单位</w:t>
            </w:r>
          </w:p>
        </w:tc>
        <w:tc>
          <w:tcPr>
            <w:tcW w:w="992"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预算金额</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元</w:t>
            </w:r>
            <w:r>
              <w:rPr>
                <w:rFonts w:cs="宋体" w:asciiTheme="minorEastAsia" w:hAnsiTheme="minorEastAsia" w:eastAsiaTheme="minorEastAsia"/>
                <w:sz w:val="24"/>
                <w:szCs w:val="24"/>
              </w:rPr>
              <w:t>)</w:t>
            </w:r>
          </w:p>
        </w:tc>
        <w:tc>
          <w:tcPr>
            <w:tcW w:w="2254"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简要规格描述或标项基本概况介绍</w:t>
            </w:r>
          </w:p>
        </w:tc>
        <w:tc>
          <w:tcPr>
            <w:tcW w:w="1026"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最高限价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元</w:t>
            </w:r>
            <w:r>
              <w:rPr>
                <w:rFonts w:cs="宋体" w:asciiTheme="minorEastAsia" w:hAnsiTheme="minorEastAsia" w:eastAsiaTheme="minorEastAsia"/>
                <w:sz w:val="24"/>
                <w:szCs w:val="24"/>
              </w:rPr>
              <w:t>)</w:t>
            </w:r>
          </w:p>
        </w:tc>
        <w:tc>
          <w:tcPr>
            <w:tcW w:w="779"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763"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cs="宋体" w:asciiTheme="minorEastAsia" w:hAnsiTheme="minorEastAsia" w:eastAsiaTheme="minorEastAsia"/>
                <w:sz w:val="24"/>
                <w:szCs w:val="24"/>
              </w:rPr>
              <w:t>1</w:t>
            </w:r>
          </w:p>
        </w:tc>
        <w:tc>
          <w:tcPr>
            <w:tcW w:w="2850" w:type="dxa"/>
            <w:tcBorders>
              <w:bottom w:val="single" w:color="000000" w:sz="4" w:space="0"/>
            </w:tcBorders>
            <w:vAlign w:val="center"/>
          </w:tcPr>
          <w:p>
            <w:pPr>
              <w:adjustRightInd w:val="0"/>
              <w:spacing w:line="360" w:lineRule="auto"/>
              <w:jc w:val="center"/>
              <w:rPr>
                <w:rFonts w:hint="eastAsia"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lang w:eastAsia="zh-CN"/>
              </w:rPr>
              <w:t>建设大厦食堂设施设备采购</w:t>
            </w:r>
          </w:p>
        </w:tc>
        <w:tc>
          <w:tcPr>
            <w:tcW w:w="850"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709"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项</w:t>
            </w:r>
          </w:p>
        </w:tc>
        <w:tc>
          <w:tcPr>
            <w:tcW w:w="992" w:type="dxa"/>
            <w:tcBorders>
              <w:bottom w:val="single" w:color="000000" w:sz="4" w:space="0"/>
            </w:tcBorders>
            <w:vAlign w:val="center"/>
          </w:tcPr>
          <w:p>
            <w:pPr>
              <w:widowControl/>
              <w:spacing w:before="100" w:after="100" w:line="312" w:lineRule="auto"/>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650000</w:t>
            </w:r>
          </w:p>
        </w:tc>
        <w:tc>
          <w:tcPr>
            <w:tcW w:w="2254" w:type="dxa"/>
            <w:tcBorders>
              <w:bottom w:val="single" w:color="000000" w:sz="4" w:space="0"/>
            </w:tcBorders>
            <w:vAlign w:val="center"/>
          </w:tcPr>
          <w:p>
            <w:pPr>
              <w:pStyle w:val="15"/>
              <w:snapToGrid w:val="0"/>
              <w:spacing w:before="120" w:after="120" w:line="360" w:lineRule="auto"/>
              <w:jc w:val="center"/>
              <w:rPr>
                <w:rFonts w:cs="Times New Roman"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详见</w:t>
            </w:r>
            <w:r>
              <w:rPr>
                <w:rFonts w:hint="default" w:asciiTheme="minorEastAsia" w:hAnsiTheme="minorEastAsia" w:eastAsiaTheme="minorEastAsia"/>
                <w:color w:val="auto"/>
                <w:sz w:val="24"/>
                <w:szCs w:val="24"/>
              </w:rPr>
              <w:t>询价</w:t>
            </w:r>
            <w:r>
              <w:rPr>
                <w:rFonts w:hint="eastAsia" w:asciiTheme="minorEastAsia" w:hAnsiTheme="minorEastAsia" w:eastAsiaTheme="minorEastAsia"/>
                <w:color w:val="auto"/>
                <w:sz w:val="24"/>
                <w:szCs w:val="24"/>
              </w:rPr>
              <w:t>文件</w:t>
            </w:r>
          </w:p>
        </w:tc>
        <w:tc>
          <w:tcPr>
            <w:tcW w:w="1026" w:type="dxa"/>
            <w:tcBorders>
              <w:bottom w:val="single" w:color="000000" w:sz="4" w:space="0"/>
            </w:tcBorders>
            <w:vAlign w:val="center"/>
          </w:tcPr>
          <w:p>
            <w:pPr>
              <w:adjustRightInd w:val="0"/>
              <w:spacing w:line="360" w:lineRule="auto"/>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650000</w:t>
            </w:r>
          </w:p>
        </w:tc>
        <w:tc>
          <w:tcPr>
            <w:tcW w:w="779"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p>
        </w:tc>
      </w:tr>
    </w:tbl>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四</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合格供应商资格要求</w:t>
      </w:r>
      <w:r>
        <w:rPr>
          <w:rFonts w:cs="宋体" w:asciiTheme="minorEastAsia" w:hAnsiTheme="minorEastAsia" w:eastAsiaTheme="minorEastAsia"/>
          <w:sz w:val="24"/>
          <w:szCs w:val="24"/>
        </w:rPr>
        <w:t>:</w:t>
      </w:r>
    </w:p>
    <w:p>
      <w:pPr>
        <w:numPr>
          <w:ilvl w:val="0"/>
          <w:numId w:val="2"/>
        </w:numPr>
        <w:wordWrap w:val="0"/>
        <w:adjustRightIn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符合《虞国资委〔2021〕42 号》第十八条</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（1）具有独立承担民事责任能力；</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（2）具有良好的商业信誉；</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（3）具有履行合同所必需的设备和专业技术、售后保障等能力；</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（4）有依法缴纳税收和社会保障资金的良好记录；</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（5）参加采购活动前三年内，没有重大违法记录、严重失信行为和行贿记录；</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（6）法律、行政法规规定的其他条件</w:t>
      </w:r>
      <w:r>
        <w:rPr>
          <w:rFonts w:hint="default" w:cs="宋体" w:asciiTheme="minorEastAsia" w:hAnsiTheme="minorEastAsia" w:eastAsiaTheme="minorEastAsia"/>
          <w:sz w:val="24"/>
          <w:szCs w:val="24"/>
        </w:rPr>
        <w:t>。</w:t>
      </w:r>
    </w:p>
    <w:p>
      <w:pPr>
        <w:numPr>
          <w:ilvl w:val="0"/>
          <w:numId w:val="2"/>
        </w:numPr>
        <w:adjustRightInd w:val="0"/>
        <w:spacing w:line="360" w:lineRule="auto"/>
        <w:ind w:firstLine="480" w:firstLineChars="200"/>
        <w:rPr>
          <w:rFonts w:ascii="宋体" w:hAnsi="宋体" w:cs="宋体"/>
          <w:sz w:val="24"/>
        </w:rPr>
      </w:pPr>
      <w:r>
        <w:rPr>
          <w:rFonts w:hint="eastAsia" w:ascii="宋体" w:hAnsi="宋体" w:cs="宋体"/>
          <w:sz w:val="24"/>
        </w:rPr>
        <w:t>允许</w:t>
      </w:r>
      <w:r>
        <w:rPr>
          <w:rFonts w:hint="eastAsia" w:ascii="宋体" w:hAnsi="宋体" w:cs="宋体"/>
          <w:sz w:val="24"/>
          <w:u w:val="single"/>
        </w:rPr>
        <w:t>联合体</w:t>
      </w:r>
      <w:r>
        <w:rPr>
          <w:rFonts w:hint="eastAsia" w:ascii="宋体" w:hAnsi="宋体" w:cs="宋体"/>
          <w:sz w:val="24"/>
        </w:rPr>
        <w:t>投标；</w:t>
      </w:r>
    </w:p>
    <w:p>
      <w:pPr>
        <w:wordWrap w:val="0"/>
        <w:adjustRightInd w:val="0"/>
        <w:spacing w:line="360" w:lineRule="auto"/>
        <w:ind w:firstLine="480" w:firstLineChars="200"/>
        <w:rPr>
          <w:rFonts w:ascii="宋体" w:hAnsi="宋体" w:cs="宋体"/>
          <w:sz w:val="24"/>
        </w:rPr>
      </w:pPr>
      <w:r>
        <w:rPr>
          <w:rFonts w:hint="eastAsia" w:ascii="宋体" w:hAnsi="宋体" w:cs="宋体"/>
          <w:sz w:val="24"/>
        </w:rPr>
        <w:t>联合体成员不得超过2家，且联合体各方不得再以自己名义单独或加入其它联合体对本项目进行投标。联合体中有同类资质的供应商按照联合体分工承担相同工作的，应当按照资质等级较低的供应商确定资质等级。联合体各方应签订联合体投标协议书，明确联合体牵头人和各方权利义务，授权联合体牵头人代表所有联合体成员负责投标和合同实施阶段的主办、协调工作。投标文件递交后，联合体成员不得变更。</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3.本项目采用资格后审的审查方式，由询价小组负责审查。</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五</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获取询价文件</w:t>
      </w:r>
    </w:p>
    <w:p>
      <w:pPr>
        <w:numPr>
          <w:ilvl w:val="0"/>
          <w:numId w:val="3"/>
        </w:numPr>
        <w:adjustRightInd w:val="0"/>
        <w:spacing w:line="360" w:lineRule="auto"/>
        <w:ind w:firstLine="480" w:firstLineChars="200"/>
        <w:rPr>
          <w:rFonts w:asciiTheme="minorEastAsia" w:hAnsiTheme="minorEastAsia" w:eastAsiaTheme="minorEastAsia"/>
          <w:sz w:val="24"/>
          <w:szCs w:val="24"/>
        </w:rPr>
      </w:pPr>
      <w:bookmarkStart w:id="5" w:name="报名开始时间1"/>
      <w:r>
        <w:rPr>
          <w:rFonts w:hint="eastAsia" w:cs="宋体" w:asciiTheme="minorEastAsia" w:hAnsiTheme="minorEastAsia" w:eastAsiaTheme="minorEastAsia"/>
          <w:sz w:val="24"/>
          <w:szCs w:val="24"/>
        </w:rPr>
        <w:t>获取询价文件时间</w:t>
      </w:r>
      <w:r>
        <w:rPr>
          <w:rFonts w:cs="宋体" w:asciiTheme="minorEastAsia" w:hAnsiTheme="minorEastAsia" w:eastAsiaTheme="minorEastAsia"/>
          <w:color w:val="auto"/>
          <w:sz w:val="24"/>
          <w:szCs w:val="24"/>
        </w:rPr>
        <w:t>:</w:t>
      </w:r>
      <w:bookmarkEnd w:id="5"/>
      <w:r>
        <w:rPr>
          <w:rFonts w:cs="宋体" w:asciiTheme="minorEastAsia" w:hAnsiTheme="minorEastAsia" w:eastAsiaTheme="minorEastAsia"/>
          <w:color w:val="auto"/>
          <w:sz w:val="24"/>
          <w:szCs w:val="24"/>
          <w:u w:val="single"/>
        </w:rPr>
        <w:t>20</w:t>
      </w:r>
      <w:r>
        <w:rPr>
          <w:rFonts w:hint="eastAsia" w:cs="宋体" w:asciiTheme="minorEastAsia" w:hAnsiTheme="minorEastAsia" w:eastAsiaTheme="minorEastAsia"/>
          <w:color w:val="auto"/>
          <w:sz w:val="24"/>
          <w:szCs w:val="24"/>
          <w:u w:val="single"/>
        </w:rPr>
        <w:t>23年</w:t>
      </w:r>
      <w:r>
        <w:rPr>
          <w:rFonts w:hint="eastAsia" w:cs="宋体" w:asciiTheme="minorEastAsia" w:hAnsiTheme="minorEastAsia" w:eastAsiaTheme="minorEastAsia"/>
          <w:color w:val="auto"/>
          <w:sz w:val="24"/>
          <w:szCs w:val="24"/>
          <w:u w:val="single"/>
          <w:lang w:val="en-US" w:eastAsia="zh-CN"/>
        </w:rPr>
        <w:t>6</w:t>
      </w:r>
      <w:r>
        <w:rPr>
          <w:rFonts w:hint="eastAsia" w:cs="宋体" w:asciiTheme="minorEastAsia" w:hAnsiTheme="minorEastAsia" w:eastAsiaTheme="minorEastAsia"/>
          <w:color w:val="auto"/>
          <w:sz w:val="24"/>
          <w:szCs w:val="24"/>
          <w:u w:val="single"/>
        </w:rPr>
        <w:t xml:space="preserve">月 </w:t>
      </w:r>
      <w:r>
        <w:rPr>
          <w:rFonts w:hint="eastAsia" w:cs="宋体" w:asciiTheme="minorEastAsia" w:hAnsiTheme="minorEastAsia" w:eastAsiaTheme="minorEastAsia"/>
          <w:color w:val="auto"/>
          <w:sz w:val="24"/>
          <w:szCs w:val="24"/>
          <w:u w:val="single"/>
          <w:lang w:val="en-US" w:eastAsia="zh-CN"/>
        </w:rPr>
        <w:t>1</w:t>
      </w:r>
      <w:r>
        <w:rPr>
          <w:rFonts w:hint="eastAsia" w:cs="宋体" w:asciiTheme="minorEastAsia" w:hAnsiTheme="minorEastAsia" w:eastAsiaTheme="minorEastAsia"/>
          <w:color w:val="auto"/>
          <w:sz w:val="24"/>
          <w:szCs w:val="24"/>
          <w:u w:val="single"/>
        </w:rPr>
        <w:t xml:space="preserve"> 日上午09</w:t>
      </w:r>
      <w:r>
        <w:rPr>
          <w:rFonts w:cs="宋体" w:asciiTheme="minorEastAsia" w:hAnsiTheme="minorEastAsia" w:eastAsiaTheme="minorEastAsia"/>
          <w:color w:val="auto"/>
          <w:sz w:val="24"/>
          <w:szCs w:val="24"/>
          <w:u w:val="single"/>
        </w:rPr>
        <w:t>:</w:t>
      </w:r>
      <w:r>
        <w:rPr>
          <w:rFonts w:hint="eastAsia" w:cs="宋体" w:asciiTheme="minorEastAsia" w:hAnsiTheme="minorEastAsia" w:eastAsiaTheme="minorEastAsia"/>
          <w:color w:val="auto"/>
          <w:sz w:val="24"/>
          <w:szCs w:val="24"/>
          <w:u w:val="single"/>
        </w:rPr>
        <w:t>3</w:t>
      </w:r>
      <w:r>
        <w:rPr>
          <w:rFonts w:cs="宋体" w:asciiTheme="minorEastAsia" w:hAnsiTheme="minorEastAsia" w:eastAsiaTheme="minorEastAsia"/>
          <w:color w:val="auto"/>
          <w:sz w:val="24"/>
          <w:szCs w:val="24"/>
          <w:u w:val="single"/>
        </w:rPr>
        <w:t>0</w:t>
      </w:r>
      <w:r>
        <w:rPr>
          <w:rFonts w:hint="eastAsia" w:cs="宋体" w:asciiTheme="minorEastAsia" w:hAnsiTheme="minorEastAsia" w:eastAsiaTheme="minorEastAsia"/>
          <w:sz w:val="24"/>
          <w:szCs w:val="24"/>
        </w:rPr>
        <w:t>之前获取。</w:t>
      </w:r>
    </w:p>
    <w:p>
      <w:pPr>
        <w:numPr>
          <w:ilvl w:val="0"/>
          <w:numId w:val="3"/>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获取询价文件方式：供应商登陆政采云平台</w:t>
      </w:r>
      <w:r>
        <w:rPr>
          <w:rFonts w:cs="宋体" w:asciiTheme="minorEastAsia" w:hAnsiTheme="minorEastAsia" w:eastAsiaTheme="minorEastAsia"/>
          <w:sz w:val="24"/>
          <w:szCs w:val="24"/>
        </w:rPr>
        <w:t>http://www.zhengcaiyun.cn/</w:t>
      </w:r>
      <w:r>
        <w:rPr>
          <w:rFonts w:hint="eastAsia" w:cs="宋体" w:asciiTheme="minorEastAsia" w:hAnsiTheme="minorEastAsia" w:eastAsiaTheme="minorEastAsia"/>
          <w:sz w:val="24"/>
          <w:szCs w:val="24"/>
        </w:rPr>
        <w:t>，在线申请获取询价文件（进入“项目采购”应用，在获取采购文件菜单中选择项目，申请获取询价文件）。</w:t>
      </w:r>
    </w:p>
    <w:p>
      <w:pPr>
        <w:numPr>
          <w:ilvl w:val="0"/>
          <w:numId w:val="3"/>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提示：</w:t>
      </w:r>
    </w:p>
    <w:p>
      <w:pPr>
        <w:numPr>
          <w:ilvl w:val="0"/>
          <w:numId w:val="4"/>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将拒绝接受未获取询价文件供应商的响应文件。</w:t>
      </w:r>
    </w:p>
    <w:p>
      <w:pPr>
        <w:numPr>
          <w:ilvl w:val="0"/>
          <w:numId w:val="4"/>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询价文件及更正补充公告请自行登录浙江政府采购网或绍兴市上虞区公共资源交易中心网站，在采购公告页面中下载。</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六、投标与开标注意事项：</w:t>
      </w:r>
    </w:p>
    <w:p>
      <w:pPr>
        <w:numPr>
          <w:ilvl w:val="0"/>
          <w:numId w:val="5"/>
        </w:num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本项目实行</w:t>
      </w:r>
      <w:r>
        <w:rPr>
          <w:rFonts w:hint="eastAsia" w:cs="宋体" w:asciiTheme="minorEastAsia" w:hAnsiTheme="minorEastAsia" w:eastAsiaTheme="minorEastAsia"/>
          <w:b/>
          <w:bCs/>
          <w:sz w:val="24"/>
          <w:szCs w:val="24"/>
        </w:rPr>
        <w:t>网上投标</w:t>
      </w:r>
      <w:r>
        <w:rPr>
          <w:rFonts w:hint="eastAsia" w:cs="宋体" w:asciiTheme="minorEastAsia" w:hAnsiTheme="minorEastAsia" w:eastAsiaTheme="minorEastAsia"/>
          <w:sz w:val="24"/>
          <w:szCs w:val="24"/>
        </w:rPr>
        <w:t>，采用电子投标文件，若供应商参与投标，自行承担投标一切费用。</w:t>
      </w:r>
    </w:p>
    <w:p>
      <w:pPr>
        <w:numPr>
          <w:ilvl w:val="0"/>
          <w:numId w:val="5"/>
        </w:numPr>
        <w:wordWrap w:val="0"/>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标前准备：各供应商应在开标前确保成为浙江省政府采购网正式注册入库供应商，并完成CA数字证书办理。因未注册入库、未办理CA数字证书等原因造成无法投标或投标失败等后果由供应商自行承担。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00" w:leftChars="200"/>
        <w:rPr>
          <w:rFonts w:cs="宋体" w:asciiTheme="minorEastAsia" w:hAnsiTheme="minorEastAsia" w:eastAsiaTheme="minorEastAsia"/>
          <w:sz w:val="24"/>
        </w:rPr>
      </w:pPr>
      <w:r>
        <w:rPr>
          <w:rFonts w:hint="eastAsia" w:cs="宋体" w:asciiTheme="minorEastAsia" w:hAnsiTheme="minorEastAsia" w:eastAsiaTheme="minorEastAsia"/>
          <w:sz w:val="24"/>
        </w:rPr>
        <w:t>《CA管理学习专题》：</w:t>
      </w:r>
    </w:p>
    <w:p>
      <w:pPr>
        <w:adjustRightInd w:val="0"/>
        <w:spacing w:line="360" w:lineRule="auto"/>
        <w:ind w:left="400" w:leftChars="200"/>
        <w:rPr>
          <w:rFonts w:cs="宋体" w:asciiTheme="minorEastAsia" w:hAnsiTheme="minorEastAsia" w:eastAsiaTheme="minorEastAsia"/>
          <w:sz w:val="24"/>
        </w:rPr>
      </w:pPr>
      <w:r>
        <w:rPr>
          <w:rFonts w:hint="eastAsia" w:cs="宋体" w:asciiTheme="minorEastAsia" w:hAnsiTheme="minorEastAsia" w:eastAsiaTheme="minorEastAsia"/>
          <w:sz w:val="24"/>
        </w:rPr>
        <w:t>https://edu.zcygov.cn/luban/ca?utm=web-government-front.380aac0a.0.0.fc2b6aa0b6e211ebbdb0dd007730dd44</w:t>
      </w:r>
    </w:p>
    <w:p>
      <w:pPr>
        <w:adjustRightInd w:val="0"/>
        <w:spacing w:line="360" w:lineRule="auto"/>
        <w:ind w:left="400" w:leftChars="200"/>
        <w:rPr>
          <w:rFonts w:cs="宋体" w:asciiTheme="minorEastAsia" w:hAnsiTheme="minorEastAsia" w:eastAsiaTheme="minorEastAsia"/>
          <w:sz w:val="24"/>
        </w:rPr>
      </w:pPr>
      <w:r>
        <w:rPr>
          <w:rFonts w:hint="eastAsia" w:cs="宋体" w:asciiTheme="minorEastAsia" w:hAnsiTheme="minorEastAsia" w:eastAsiaTheme="minorEastAsia"/>
          <w:sz w:val="24"/>
        </w:rPr>
        <w:t>《CA驱动和申领流程》:</w:t>
      </w:r>
    </w:p>
    <w:p>
      <w:pPr>
        <w:adjustRightInd w:val="0"/>
        <w:spacing w:line="360" w:lineRule="auto"/>
        <w:ind w:left="400" w:leftChars="200"/>
        <w:rPr>
          <w:rFonts w:cs="宋体" w:asciiTheme="minorEastAsia" w:hAnsiTheme="minorEastAsia" w:eastAsiaTheme="minorEastAsia"/>
          <w:sz w:val="24"/>
          <w:szCs w:val="24"/>
        </w:rPr>
      </w:pPr>
      <w:r>
        <w:fldChar w:fldCharType="begin"/>
      </w:r>
      <w:r>
        <w:instrText xml:space="preserve"> HYPERLINK "http://zfcg.czt.zj.gov.cn/bidClientTemplate/2019-05-27/12945.html" </w:instrText>
      </w:r>
      <w:r>
        <w:fldChar w:fldCharType="separate"/>
      </w:r>
      <w:r>
        <w:rPr>
          <w:rFonts w:hint="eastAsia" w:cs="宋体" w:asciiTheme="minorEastAsia" w:hAnsiTheme="minorEastAsia" w:eastAsiaTheme="minorEastAsia"/>
          <w:sz w:val="24"/>
        </w:rPr>
        <w:t>http://zfcg.czt.zj.gov.cn/bidClientTemplate/2019-05-27/12945.html</w:t>
      </w:r>
      <w:r>
        <w:rPr>
          <w:rFonts w:hint="eastAsia" w:cs="宋体" w:asciiTheme="minorEastAsia" w:hAnsiTheme="minorEastAsia" w:eastAsiaTheme="minorEastAsia"/>
          <w:sz w:val="24"/>
        </w:rPr>
        <w:fldChar w:fldCharType="end"/>
      </w:r>
    </w:p>
    <w:p>
      <w:pPr>
        <w:numPr>
          <w:ilvl w:val="0"/>
          <w:numId w:val="5"/>
        </w:num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投标文件制作：</w:t>
      </w:r>
    </w:p>
    <w:p>
      <w:pPr>
        <w:numPr>
          <w:ilvl w:val="0"/>
          <w:numId w:val="6"/>
        </w:num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6"/>
        </w:numPr>
        <w:wordWrap w:val="0"/>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投标人通过“政采云”平台电子投标工具制作投标文件。</w:t>
      </w:r>
    </w:p>
    <w:p>
      <w:pPr>
        <w:adjustRightInd w:val="0"/>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《电子投标工具》：</w:t>
      </w:r>
    </w:p>
    <w:p>
      <w:pPr>
        <w:adjustRightInd w:val="0"/>
        <w:spacing w:line="360" w:lineRule="auto"/>
        <w:ind w:firstLine="400" w:firstLineChars="200"/>
        <w:jc w:val="left"/>
        <w:rPr>
          <w:rFonts w:cs="宋体" w:asciiTheme="minorEastAsia" w:hAnsiTheme="minorEastAsia" w:eastAsiaTheme="minorEastAsia"/>
          <w:sz w:val="24"/>
          <w:szCs w:val="24"/>
        </w:rPr>
      </w:pPr>
      <w:r>
        <w:fldChar w:fldCharType="begin"/>
      </w:r>
      <w:r>
        <w:instrText xml:space="preserve"> HYPERLINK "http://zfcg.czt.zj.gov.cn/bidClientTemplate/2019-09-24/12975.html" </w:instrText>
      </w:r>
      <w:r>
        <w:fldChar w:fldCharType="separate"/>
      </w:r>
      <w:r>
        <w:rPr>
          <w:rFonts w:hint="eastAsia" w:cs="宋体" w:asciiTheme="minorEastAsia" w:hAnsiTheme="minorEastAsia" w:eastAsiaTheme="minorEastAsia"/>
          <w:sz w:val="24"/>
          <w:szCs w:val="24"/>
        </w:rPr>
        <w:t>http://zfcg.czt.zj.gov.cn/bidClientTemplate/2019-09-24/12975.html</w:t>
      </w:r>
      <w:r>
        <w:rPr>
          <w:rFonts w:hint="eastAsia" w:cs="宋体" w:asciiTheme="minorEastAsia" w:hAnsiTheme="minorEastAsia" w:eastAsiaTheme="minorEastAsia"/>
          <w:sz w:val="24"/>
          <w:szCs w:val="24"/>
        </w:rPr>
        <w:fldChar w:fldCharType="end"/>
      </w:r>
    </w:p>
    <w:p>
      <w:pPr>
        <w:adjustRightInd w:val="0"/>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《供应商-政府采购项目电子交易操作指南》：(需登录账号后查看)</w:t>
      </w:r>
    </w:p>
    <w:p>
      <w:pPr>
        <w:adjustRightInd w:val="0"/>
        <w:spacing w:line="360" w:lineRule="auto"/>
        <w:ind w:firstLine="400" w:firstLineChars="200"/>
        <w:jc w:val="left"/>
        <w:rPr>
          <w:rFonts w:cs="宋体" w:asciiTheme="minorEastAsia" w:hAnsiTheme="minorEastAsia" w:eastAsiaTheme="minorEastAsia"/>
          <w:sz w:val="24"/>
          <w:szCs w:val="24"/>
        </w:rPr>
      </w:pPr>
      <w:r>
        <w:fldChar w:fldCharType="begin"/>
      </w:r>
      <w:r>
        <w:instrText xml:space="preserve"> HYPERLINK "https://service.zcygov.cn/" \l "/knowledges/tree?tag=AG1DtGwBFdiHxlNdhY0r" </w:instrText>
      </w:r>
      <w:r>
        <w:fldChar w:fldCharType="separate"/>
      </w:r>
      <w:r>
        <w:rPr>
          <w:rFonts w:hint="eastAsia" w:cs="宋体" w:asciiTheme="minorEastAsia" w:hAnsiTheme="minorEastAsia" w:eastAsiaTheme="minorEastAsia"/>
          <w:sz w:val="24"/>
          <w:szCs w:val="24"/>
        </w:rPr>
        <w:t>https://service.zcygov.cn/#/knowledges/tree?tag=AG1DtGwBFdiHxlNdhY0r</w:t>
      </w:r>
      <w:r>
        <w:rPr>
          <w:rFonts w:hint="eastAsia" w:cs="宋体" w:asciiTheme="minorEastAsia" w:hAnsiTheme="minorEastAsia" w:eastAsiaTheme="minorEastAsia"/>
          <w:sz w:val="24"/>
          <w:szCs w:val="24"/>
        </w:rPr>
        <w:fldChar w:fldCharType="end"/>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4.供应商在法定质疑期内应一次性提出针对同一采购程序环节的质疑。否则质疑将不予受理。</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5.投标人可指派授权代表递交备份文件，授权代表递交备份文件需携带法定代表人授权书原件，于投标截止时间前到达开标地点递交。</w:t>
      </w:r>
    </w:p>
    <w:p>
      <w:pPr>
        <w:adjustRightInd w:val="0"/>
        <w:spacing w:line="360" w:lineRule="auto"/>
        <w:ind w:left="400" w:left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6.特别提醒</w:t>
      </w:r>
    </w:p>
    <w:p>
      <w:pPr>
        <w:wordWrap w:val="0"/>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单位负责人为同一人或者存在直接控股、管理关系的不同供应商，不得参加同一合同项下的采购活动。</w:t>
      </w:r>
    </w:p>
    <w:p>
      <w:pPr>
        <w:adjustRightInd w:val="0"/>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七</w:t>
      </w:r>
      <w:r>
        <w:rPr>
          <w:rFonts w:hint="default"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询价响应截止时间及要求：</w:t>
      </w:r>
      <w:r>
        <w:rPr>
          <w:rFonts w:cs="宋体" w:asciiTheme="minorEastAsia" w:hAnsiTheme="minorEastAsia" w:eastAsiaTheme="minorEastAsia"/>
          <w:color w:val="auto"/>
          <w:sz w:val="24"/>
          <w:szCs w:val="24"/>
          <w:u w:val="single"/>
        </w:rPr>
        <w:t>202</w:t>
      </w:r>
      <w:r>
        <w:rPr>
          <w:rFonts w:hint="eastAsia" w:cs="宋体" w:asciiTheme="minorEastAsia" w:hAnsiTheme="minorEastAsia" w:eastAsiaTheme="minorEastAsia"/>
          <w:color w:val="auto"/>
          <w:sz w:val="24"/>
          <w:szCs w:val="24"/>
          <w:u w:val="single"/>
        </w:rPr>
        <w:t>3</w:t>
      </w:r>
      <w:r>
        <w:rPr>
          <w:rFonts w:hint="eastAsia" w:cs="宋体" w:asciiTheme="minorEastAsia" w:hAnsiTheme="minorEastAsia" w:eastAsiaTheme="minorEastAsia"/>
          <w:color w:val="auto"/>
          <w:sz w:val="24"/>
          <w:szCs w:val="24"/>
        </w:rPr>
        <w:t>年</w:t>
      </w:r>
      <w:r>
        <w:rPr>
          <w:rFonts w:hint="eastAsia" w:cs="宋体" w:asciiTheme="minorEastAsia" w:hAnsiTheme="minorEastAsia" w:eastAsiaTheme="minorEastAsia"/>
          <w:color w:val="auto"/>
          <w:sz w:val="24"/>
          <w:szCs w:val="24"/>
          <w:u w:val="single"/>
          <w:lang w:val="en-US" w:eastAsia="zh-CN"/>
        </w:rPr>
        <w:t xml:space="preserve"> 6</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u w:val="single"/>
          <w:lang w:val="en-US" w:eastAsia="zh-CN"/>
        </w:rPr>
        <w:t>1</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rPr>
        <w:t>日上午</w:t>
      </w:r>
      <w:r>
        <w:rPr>
          <w:rFonts w:hint="eastAsia" w:cs="宋体" w:asciiTheme="minorEastAsia" w:hAnsiTheme="minorEastAsia" w:eastAsiaTheme="minorEastAsia"/>
          <w:color w:val="auto"/>
          <w:sz w:val="24"/>
          <w:szCs w:val="24"/>
          <w:u w:val="single"/>
        </w:rPr>
        <w:t>09</w:t>
      </w:r>
      <w:r>
        <w:rPr>
          <w:rFonts w:hint="eastAsia" w:cs="宋体" w:asciiTheme="minorEastAsia" w:hAnsiTheme="minorEastAsia" w:eastAsiaTheme="minorEastAsia"/>
          <w:color w:val="auto"/>
          <w:sz w:val="24"/>
          <w:szCs w:val="24"/>
        </w:rPr>
        <w:t>时</w:t>
      </w:r>
      <w:r>
        <w:rPr>
          <w:rFonts w:hint="eastAsia" w:cs="宋体" w:asciiTheme="minorEastAsia" w:hAnsiTheme="minorEastAsia" w:eastAsiaTheme="minorEastAsia"/>
          <w:color w:val="auto"/>
          <w:sz w:val="24"/>
          <w:szCs w:val="24"/>
          <w:u w:val="single"/>
        </w:rPr>
        <w:t>3</w:t>
      </w:r>
      <w:r>
        <w:rPr>
          <w:rFonts w:cs="宋体" w:asciiTheme="minorEastAsia" w:hAnsiTheme="minorEastAsia" w:eastAsiaTheme="minorEastAsia"/>
          <w:color w:val="auto"/>
          <w:sz w:val="24"/>
          <w:szCs w:val="24"/>
          <w:u w:val="single"/>
        </w:rPr>
        <w:t xml:space="preserve">0 </w:t>
      </w:r>
      <w:r>
        <w:rPr>
          <w:rFonts w:hint="eastAsia" w:cs="宋体" w:asciiTheme="minorEastAsia" w:hAnsiTheme="minorEastAsia" w:eastAsiaTheme="minorEastAsia"/>
          <w:color w:val="auto"/>
          <w:sz w:val="24"/>
          <w:szCs w:val="24"/>
        </w:rPr>
        <w:t>分整</w:t>
      </w:r>
      <w:r>
        <w:rPr>
          <w:rFonts w:hint="eastAsia" w:cs="宋体" w:asciiTheme="minorEastAsia" w:hAnsiTheme="minorEastAsia" w:eastAsiaTheme="minorEastAsia"/>
          <w:sz w:val="24"/>
          <w:szCs w:val="24"/>
        </w:rPr>
        <w:t>之前将电子询价响应文件上传到“政采云”平台。</w:t>
      </w:r>
    </w:p>
    <w:p>
      <w:pPr>
        <w:adjustRightInd w:val="0"/>
        <w:spacing w:line="360" w:lineRule="auto"/>
        <w:ind w:firstLine="482" w:firstLineChars="200"/>
        <w:jc w:val="left"/>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八</w:t>
      </w:r>
      <w:r>
        <w:rPr>
          <w:rFonts w:hint="default"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递交首次响应文件时间及地点：</w:t>
      </w:r>
      <w:r>
        <w:rPr>
          <w:rFonts w:cs="宋体" w:asciiTheme="minorEastAsia" w:hAnsiTheme="minorEastAsia" w:eastAsiaTheme="minorEastAsia"/>
          <w:color w:val="auto"/>
          <w:sz w:val="24"/>
          <w:szCs w:val="24"/>
          <w:u w:val="single"/>
        </w:rPr>
        <w:t>202</w:t>
      </w:r>
      <w:r>
        <w:rPr>
          <w:rFonts w:hint="eastAsia" w:cs="宋体" w:asciiTheme="minorEastAsia" w:hAnsiTheme="minorEastAsia" w:eastAsiaTheme="minorEastAsia"/>
          <w:color w:val="auto"/>
          <w:sz w:val="24"/>
          <w:szCs w:val="24"/>
          <w:u w:val="single"/>
        </w:rPr>
        <w:t>3</w:t>
      </w:r>
      <w:r>
        <w:rPr>
          <w:rFonts w:hint="eastAsia" w:cs="宋体" w:asciiTheme="minorEastAsia" w:hAnsiTheme="minorEastAsia" w:eastAsiaTheme="minorEastAsia"/>
          <w:color w:val="auto"/>
          <w:sz w:val="24"/>
          <w:szCs w:val="24"/>
        </w:rPr>
        <w:t>年</w:t>
      </w:r>
      <w:r>
        <w:rPr>
          <w:rFonts w:hint="eastAsia" w:cs="宋体" w:asciiTheme="minorEastAsia" w:hAnsiTheme="minorEastAsia" w:eastAsiaTheme="minorEastAsia"/>
          <w:color w:val="auto"/>
          <w:sz w:val="24"/>
          <w:szCs w:val="24"/>
          <w:u w:val="single"/>
          <w:lang w:val="en-US" w:eastAsia="zh-CN"/>
        </w:rPr>
        <w:t xml:space="preserve"> 6</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u w:val="single"/>
          <w:lang w:val="en-US" w:eastAsia="zh-CN"/>
        </w:rPr>
        <w:t>1</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rPr>
        <w:t>日上午</w:t>
      </w:r>
      <w:r>
        <w:rPr>
          <w:rFonts w:hint="eastAsia" w:cs="宋体" w:asciiTheme="minorEastAsia" w:hAnsiTheme="minorEastAsia" w:eastAsiaTheme="minorEastAsia"/>
          <w:color w:val="auto"/>
          <w:sz w:val="24"/>
          <w:szCs w:val="24"/>
          <w:u w:val="single"/>
        </w:rPr>
        <w:t>09</w:t>
      </w:r>
      <w:r>
        <w:rPr>
          <w:rFonts w:hint="eastAsia" w:cs="宋体" w:asciiTheme="minorEastAsia" w:hAnsiTheme="minorEastAsia" w:eastAsiaTheme="minorEastAsia"/>
          <w:color w:val="auto"/>
          <w:sz w:val="24"/>
          <w:szCs w:val="24"/>
        </w:rPr>
        <w:t>时</w:t>
      </w:r>
      <w:r>
        <w:rPr>
          <w:rFonts w:hint="eastAsia" w:cs="宋体" w:asciiTheme="minorEastAsia" w:hAnsiTheme="minorEastAsia" w:eastAsiaTheme="minorEastAsia"/>
          <w:color w:val="auto"/>
          <w:sz w:val="24"/>
          <w:szCs w:val="24"/>
          <w:u w:val="single"/>
        </w:rPr>
        <w:t>3</w:t>
      </w:r>
      <w:r>
        <w:rPr>
          <w:rFonts w:cs="宋体" w:asciiTheme="minorEastAsia" w:hAnsiTheme="minorEastAsia" w:eastAsiaTheme="minorEastAsia"/>
          <w:color w:val="auto"/>
          <w:sz w:val="24"/>
          <w:szCs w:val="24"/>
          <w:u w:val="single"/>
        </w:rPr>
        <w:t>0</w:t>
      </w:r>
      <w:r>
        <w:rPr>
          <w:rFonts w:hint="eastAsia" w:cs="宋体" w:asciiTheme="minorEastAsia" w:hAnsiTheme="minorEastAsia" w:eastAsiaTheme="minorEastAsia"/>
          <w:color w:val="auto"/>
          <w:sz w:val="24"/>
          <w:szCs w:val="24"/>
        </w:rPr>
        <w:t>分</w:t>
      </w:r>
      <w:bookmarkStart w:id="6" w:name="B30_开标地点"/>
      <w:r>
        <w:rPr>
          <w:rFonts w:hint="eastAsia" w:cs="宋体" w:asciiTheme="minorEastAsia" w:hAnsiTheme="minorEastAsia" w:eastAsiaTheme="minorEastAsia"/>
          <w:sz w:val="24"/>
          <w:szCs w:val="24"/>
        </w:rPr>
        <w:t>整在</w:t>
      </w:r>
      <w:r>
        <w:rPr>
          <w:rFonts w:hint="eastAsia" w:ascii="宋体" w:hAnsi="宋体" w:cs="宋体" w:eastAsiaTheme="minorEastAsia"/>
          <w:sz w:val="24"/>
          <w:szCs w:val="24"/>
        </w:rPr>
        <w:t>绍兴明晨建设项目管理有限公司</w:t>
      </w:r>
      <w:r>
        <w:rPr>
          <w:rFonts w:hint="eastAsia" w:ascii="宋体" w:hAnsi="宋体" w:cs="宋体"/>
          <w:sz w:val="24"/>
          <w:szCs w:val="24"/>
        </w:rPr>
        <w:t>开标室</w:t>
      </w:r>
      <w:r>
        <w:rPr>
          <w:rFonts w:hint="eastAsia" w:cs="宋体" w:asciiTheme="minorEastAsia" w:hAnsiTheme="minorEastAsia" w:eastAsiaTheme="minorEastAsia"/>
          <w:sz w:val="24"/>
          <w:szCs w:val="24"/>
        </w:rPr>
        <w:t>开标。</w:t>
      </w:r>
      <w:bookmarkEnd w:id="6"/>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开标时间后</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分钟内（当日10</w:t>
      </w:r>
      <w:r>
        <w:rPr>
          <w:rFonts w:cs="宋体" w:asciiTheme="minorEastAsia" w:hAnsiTheme="minorEastAsia" w:eastAsiaTheme="minorEastAsia"/>
          <w:sz w:val="24"/>
          <w:szCs w:val="24"/>
        </w:rPr>
        <w:t xml:space="preserve"> : </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 xml:space="preserve">0 </w:t>
      </w:r>
      <w:r>
        <w:rPr>
          <w:rFonts w:hint="eastAsia" w:cs="宋体" w:asciiTheme="minorEastAsia" w:hAnsiTheme="minorEastAsia" w:eastAsiaTheme="minorEastAsia"/>
          <w:sz w:val="24"/>
          <w:szCs w:val="24"/>
        </w:rPr>
        <w:t>前）供应商可以登录“政采云”平台，用“项目采购</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开标评标”功能进行解密响应文件。若供应商在规定时间内（当日10</w:t>
      </w:r>
      <w:r>
        <w:rPr>
          <w:rFonts w:cs="宋体" w:asciiTheme="minorEastAsia" w:hAnsiTheme="minorEastAsia" w:eastAsiaTheme="minorEastAsia"/>
          <w:sz w:val="24"/>
          <w:szCs w:val="24"/>
        </w:rPr>
        <w:t xml:space="preserve"> : </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 xml:space="preserve">0 </w:t>
      </w:r>
      <w:r>
        <w:rPr>
          <w:rFonts w:hint="eastAsia" w:cs="宋体" w:asciiTheme="minorEastAsia" w:hAnsiTheme="minorEastAsia" w:eastAsiaTheme="minorEastAsia"/>
          <w:sz w:val="24"/>
          <w:szCs w:val="24"/>
        </w:rPr>
        <w:t>前）解密失败，则由采购代理机构工作人员上传供应商提供的备份文件。备份文件（后缀名为</w:t>
      </w:r>
      <w:r>
        <w:rPr>
          <w:rFonts w:cs="宋体" w:asciiTheme="minorEastAsia" w:hAnsiTheme="minorEastAsia" w:eastAsiaTheme="minorEastAsia"/>
          <w:sz w:val="24"/>
          <w:szCs w:val="24"/>
        </w:rPr>
        <w:t>.bfbs</w:t>
      </w:r>
      <w:r>
        <w:rPr>
          <w:rFonts w:hint="eastAsia" w:cs="宋体" w:asciiTheme="minorEastAsia" w:hAnsiTheme="minorEastAsia" w:eastAsiaTheme="minorEastAsia"/>
          <w:sz w:val="24"/>
          <w:szCs w:val="24"/>
        </w:rPr>
        <w:t>）须存储在</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盘中，与上传的电子询价响应文件一致，用信封进行密封并盖章</w:t>
      </w:r>
      <w:r>
        <w:rPr>
          <w:rFonts w:hint="eastAsia" w:cs="宋体" w:asciiTheme="minorEastAsia" w:hAnsiTheme="minorEastAsia" w:eastAsiaTheme="minorEastAsia"/>
          <w:b/>
          <w:bCs/>
          <w:sz w:val="24"/>
          <w:szCs w:val="24"/>
        </w:rPr>
        <w:t>（信封内仅需放入存储备份文件的</w:t>
      </w:r>
      <w:r>
        <w:rPr>
          <w:rFonts w:cs="宋体" w:asciiTheme="minorEastAsia" w:hAnsiTheme="minorEastAsia" w:eastAsiaTheme="minorEastAsia"/>
          <w:b/>
          <w:bCs/>
          <w:sz w:val="24"/>
          <w:szCs w:val="24"/>
        </w:rPr>
        <w:t>U</w:t>
      </w:r>
      <w:r>
        <w:rPr>
          <w:rFonts w:hint="eastAsia" w:cs="宋体" w:asciiTheme="minorEastAsia" w:hAnsiTheme="minorEastAsia" w:eastAsiaTheme="minorEastAsia"/>
          <w:b/>
          <w:bCs/>
          <w:sz w:val="24"/>
          <w:szCs w:val="24"/>
        </w:rPr>
        <w:t>盘）</w:t>
      </w:r>
      <w:r>
        <w:rPr>
          <w:rFonts w:hint="eastAsia" w:cs="宋体" w:asciiTheme="minorEastAsia" w:hAnsiTheme="minorEastAsia" w:eastAsiaTheme="minorEastAsia"/>
          <w:sz w:val="24"/>
          <w:szCs w:val="24"/>
        </w:rPr>
        <w:t>，由授权代表在询价响应截止时间前递交至开标地点。若电子询价响应文件正常解锁，则</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盘退还给供应商；若解锁失败，则由采购代理机构将</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盘中的备份文件上传，该</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盘将由采购代理机构保存。</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本次开标不提供现场视频。</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九</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询价保证金：</w:t>
      </w:r>
      <w:r>
        <w:rPr>
          <w:rFonts w:hint="eastAsia" w:cs="宋体" w:asciiTheme="minorEastAsia" w:hAnsiTheme="minorEastAsia" w:eastAsiaTheme="minorEastAsia"/>
          <w:color w:val="auto"/>
          <w:sz w:val="24"/>
          <w:szCs w:val="24"/>
          <w:lang w:val="en-US" w:eastAsia="zh-CN"/>
        </w:rPr>
        <w:t>6000元</w:t>
      </w:r>
      <w:r>
        <w:rPr>
          <w:rFonts w:hint="eastAsia" w:cs="宋体" w:asciiTheme="minorEastAsia" w:hAnsiTheme="minorEastAsia" w:eastAsiaTheme="minorEastAsia"/>
          <w:color w:val="auto"/>
          <w:sz w:val="24"/>
          <w:szCs w:val="24"/>
        </w:rPr>
        <w:t>。</w:t>
      </w:r>
    </w:p>
    <w:p>
      <w:pPr>
        <w:adjustRightInd w:val="0"/>
        <w:spacing w:line="360" w:lineRule="auto"/>
        <w:ind w:firstLine="480" w:firstLineChars="200"/>
        <w:rPr>
          <w:rFonts w:hint="default" w:asciiTheme="minorEastAsia" w:hAnsiTheme="minorEastAsia" w:eastAsiaTheme="minorEastAsia"/>
          <w:sz w:val="24"/>
          <w:szCs w:val="24"/>
        </w:rPr>
      </w:pPr>
      <w:r>
        <w:rPr>
          <w:rFonts w:hint="eastAsia" w:cs="宋体" w:asciiTheme="minorEastAsia" w:hAnsiTheme="minorEastAsia" w:eastAsiaTheme="minorEastAsia"/>
          <w:sz w:val="24"/>
          <w:szCs w:val="24"/>
        </w:rPr>
        <w:t>十</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公告期限：3个工作日</w:t>
      </w:r>
      <w:r>
        <w:rPr>
          <w:rFonts w:hint="default" w:cs="宋体" w:asciiTheme="minorEastAsia" w:hAnsiTheme="minorEastAsia" w:eastAsiaTheme="minorEastAsia"/>
          <w:sz w:val="24"/>
          <w:szCs w:val="24"/>
        </w:rPr>
        <w:t>。</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十一</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联系方式：</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采购代理机构名称：绍兴明晨建设项目管理有限公司</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联系人：邹章杰</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联系电话：13958328279</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采购人名称：</w:t>
      </w:r>
      <w:r>
        <w:fldChar w:fldCharType="begin"/>
      </w:r>
      <w:r>
        <w:instrText xml:space="preserve"> HYPERLINK "http://www.baidu.com/link?url=bapJkMNmYQ-XwWEHVIXUz3OjHDFxehbrVPcJfut-0vGrGEHYeJ4N7p9g4O2RvZrGsedUhfXuAeQTqVXL4NNDUQCzT8cig6ayFA1UjbJRKvW" \t "https://www.baidu.com/_blank" </w:instrText>
      </w:r>
      <w:r>
        <w:fldChar w:fldCharType="separate"/>
      </w:r>
      <w:r>
        <w:rPr>
          <w:rFonts w:hint="eastAsia" w:ascii="宋体" w:hAnsi="宋体"/>
          <w:bCs/>
          <w:sz w:val="24"/>
          <w:lang w:eastAsia="zh-CN"/>
        </w:rPr>
        <w:t>绍兴市上虞</w:t>
      </w:r>
      <w:r>
        <w:rPr>
          <w:rFonts w:hint="eastAsia" w:ascii="宋体" w:hAnsi="宋体"/>
          <w:bCs/>
          <w:sz w:val="24"/>
          <w:lang w:val="en-US" w:eastAsia="zh-CN"/>
        </w:rPr>
        <w:t>城市建设集团</w:t>
      </w:r>
      <w:r>
        <w:rPr>
          <w:rFonts w:hint="eastAsia" w:ascii="宋体" w:hAnsi="宋体"/>
          <w:bCs/>
          <w:sz w:val="24"/>
          <w:lang w:eastAsia="zh-CN"/>
        </w:rPr>
        <w:t>有限公司</w:t>
      </w:r>
      <w:r>
        <w:rPr>
          <w:rFonts w:hint="eastAsia" w:ascii="宋体" w:hAnsi="宋体"/>
          <w:bCs/>
          <w:sz w:val="24"/>
        </w:rPr>
        <w:fldChar w:fldCharType="end"/>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联系人：罗先生  </w:t>
      </w:r>
    </w:p>
    <w:p>
      <w:pPr>
        <w:spacing w:line="360" w:lineRule="auto"/>
        <w:ind w:firstLine="480" w:firstLineChars="200"/>
        <w:rPr>
          <w:rFonts w:hint="default" w:ascii="宋体" w:hAnsi="宋体" w:eastAsia="宋体" w:cs="宋体"/>
          <w:sz w:val="24"/>
          <w:szCs w:val="32"/>
          <w:lang w:val="en-US" w:eastAsia="zh-CN"/>
        </w:rPr>
      </w:pPr>
      <w:r>
        <w:rPr>
          <w:rFonts w:hint="eastAsia" w:ascii="宋体" w:hAnsi="宋体" w:cs="宋体"/>
          <w:sz w:val="24"/>
          <w:szCs w:val="32"/>
        </w:rPr>
        <w:t>联系电话</w:t>
      </w:r>
      <w:r>
        <w:rPr>
          <w:rFonts w:hint="eastAsia" w:ascii="宋体" w:hAnsi="宋体" w:cs="宋体"/>
          <w:color w:val="auto"/>
          <w:sz w:val="24"/>
          <w:szCs w:val="32"/>
        </w:rPr>
        <w:t xml:space="preserve">: </w:t>
      </w:r>
      <w:r>
        <w:rPr>
          <w:rFonts w:hint="eastAsia" w:ascii="宋体" w:hAnsi="宋体"/>
          <w:color w:val="auto"/>
          <w:sz w:val="24"/>
          <w:szCs w:val="24"/>
        </w:rPr>
        <w:t>0575-</w:t>
      </w:r>
      <w:r>
        <w:rPr>
          <w:rFonts w:hint="eastAsia" w:ascii="宋体" w:hAnsi="宋体"/>
          <w:color w:val="auto"/>
          <w:sz w:val="24"/>
          <w:szCs w:val="24"/>
          <w:lang w:val="en-US" w:eastAsia="zh-CN"/>
        </w:rPr>
        <w:t>81227806</w:t>
      </w:r>
    </w:p>
    <w:p>
      <w:pPr>
        <w:adjustRightInd w:val="0"/>
        <w:spacing w:line="360" w:lineRule="auto"/>
        <w:ind w:firstLine="480" w:firstLineChars="200"/>
        <w:rPr>
          <w:rFonts w:asciiTheme="minorEastAsia" w:hAnsiTheme="minorEastAsia" w:eastAsiaTheme="minorEastAsia"/>
          <w:sz w:val="24"/>
          <w:szCs w:val="24"/>
        </w:rPr>
      </w:pPr>
      <w:r>
        <w:rPr>
          <w:rFonts w:hint="eastAsia" w:ascii="宋体" w:hAnsi="宋体" w:cs="宋体"/>
          <w:sz w:val="24"/>
          <w:szCs w:val="32"/>
        </w:rPr>
        <w:t>地址：绍兴市上虞区</w:t>
      </w:r>
    </w:p>
    <w:p>
      <w:pPr>
        <w:spacing w:line="360" w:lineRule="auto"/>
        <w:jc w:val="center"/>
        <w:outlineLvl w:val="0"/>
        <w:rPr>
          <w:rFonts w:asciiTheme="minorEastAsia" w:hAnsiTheme="minorEastAsia" w:eastAsiaTheme="minorEastAsia"/>
          <w:b/>
          <w:bCs/>
          <w:sz w:val="36"/>
          <w:szCs w:val="36"/>
        </w:rPr>
      </w:pPr>
      <w:r>
        <w:rPr>
          <w:rFonts w:asciiTheme="minorEastAsia" w:hAnsiTheme="minorEastAsia" w:eastAsiaTheme="minorEastAsia"/>
          <w:b/>
          <w:bCs/>
          <w:sz w:val="36"/>
          <w:szCs w:val="36"/>
        </w:rPr>
        <w:br w:type="page"/>
      </w:r>
      <w:bookmarkStart w:id="7" w:name="_Toc29834"/>
      <w:bookmarkStart w:id="8" w:name="_Toc546"/>
      <w:bookmarkStart w:id="9" w:name="_Toc110244146"/>
      <w:r>
        <w:rPr>
          <w:rStyle w:val="34"/>
          <w:rFonts w:hint="eastAsia" w:cs="宋体" w:asciiTheme="minorEastAsia" w:hAnsiTheme="minorEastAsia" w:eastAsiaTheme="minorEastAsia"/>
          <w:sz w:val="36"/>
          <w:szCs w:val="36"/>
        </w:rPr>
        <w:t>第二部分</w:t>
      </w:r>
      <w:bookmarkEnd w:id="3"/>
      <w:bookmarkEnd w:id="4"/>
      <w:r>
        <w:rPr>
          <w:rStyle w:val="34"/>
          <w:rFonts w:hint="eastAsia" w:cs="宋体" w:asciiTheme="minorEastAsia" w:hAnsiTheme="minorEastAsia" w:eastAsiaTheme="minorEastAsia"/>
          <w:sz w:val="36"/>
          <w:szCs w:val="36"/>
        </w:rPr>
        <w:t>供应商须知</w:t>
      </w:r>
      <w:bookmarkEnd w:id="7"/>
      <w:bookmarkEnd w:id="8"/>
      <w:bookmarkEnd w:id="9"/>
    </w:p>
    <w:p>
      <w:pPr>
        <w:widowControl/>
        <w:adjustRightInd w:val="0"/>
        <w:snapToGrid w:val="0"/>
        <w:spacing w:line="360" w:lineRule="auto"/>
        <w:jc w:val="center"/>
        <w:rPr>
          <w:rFonts w:asciiTheme="minorEastAsia" w:hAnsiTheme="minorEastAsia" w:eastAsiaTheme="minorEastAsia"/>
          <w:b/>
          <w:bCs/>
          <w:snapToGrid w:val="0"/>
          <w:sz w:val="32"/>
          <w:szCs w:val="32"/>
        </w:rPr>
      </w:pPr>
      <w:r>
        <w:rPr>
          <w:rFonts w:hint="eastAsia" w:cs="宋体" w:asciiTheme="minorEastAsia" w:hAnsiTheme="minorEastAsia" w:eastAsiaTheme="minorEastAsia"/>
          <w:b/>
          <w:bCs/>
          <w:snapToGrid w:val="0"/>
          <w:sz w:val="30"/>
          <w:szCs w:val="30"/>
        </w:rPr>
        <w:t>供应商须知前附表</w:t>
      </w:r>
    </w:p>
    <w:tbl>
      <w:tblPr>
        <w:tblStyle w:val="26"/>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07"/>
        <w:gridCol w:w="65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blHeader/>
          <w:jc w:val="center"/>
        </w:trPr>
        <w:tc>
          <w:tcPr>
            <w:tcW w:w="648" w:type="dxa"/>
            <w:tcBorders>
              <w:top w:val="double" w:color="auto" w:sz="4" w:space="0"/>
            </w:tcBorders>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序号</w:t>
            </w:r>
          </w:p>
        </w:tc>
        <w:tc>
          <w:tcPr>
            <w:tcW w:w="1907" w:type="dxa"/>
            <w:tcBorders>
              <w:top w:val="double" w:color="auto" w:sz="4" w:space="0"/>
            </w:tcBorders>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项目</w:t>
            </w:r>
          </w:p>
        </w:tc>
        <w:tc>
          <w:tcPr>
            <w:tcW w:w="6575" w:type="dxa"/>
            <w:tcBorders>
              <w:top w:val="double" w:color="auto" w:sz="4" w:space="0"/>
            </w:tcBorders>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项目名称</w:t>
            </w:r>
          </w:p>
        </w:tc>
        <w:tc>
          <w:tcPr>
            <w:tcW w:w="6575" w:type="dxa"/>
            <w:vAlign w:val="center"/>
          </w:tcPr>
          <w:p>
            <w:pPr>
              <w:snapToGrid w:val="0"/>
              <w:ind w:firstLine="400" w:firstLineChars="200"/>
              <w:rPr>
                <w:rFonts w:hint="eastAsia" w:asciiTheme="minorEastAsia" w:hAnsiTheme="minorEastAsia" w:eastAsiaTheme="minorEastAsia"/>
                <w:snapToGrid w:val="0"/>
                <w:lang w:eastAsia="zh-CN"/>
              </w:rPr>
            </w:pPr>
            <w:r>
              <w:rPr>
                <w:rFonts w:hint="eastAsia" w:cs="宋体" w:asciiTheme="minorEastAsia" w:hAnsiTheme="minorEastAsia" w:eastAsiaTheme="minorEastAsia"/>
                <w:snapToGrid w:val="0"/>
                <w:lang w:eastAsia="zh-CN"/>
              </w:rPr>
              <w:t>建设大厦食堂设施设备采购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2</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项目实施时间</w:t>
            </w:r>
          </w:p>
        </w:tc>
        <w:tc>
          <w:tcPr>
            <w:tcW w:w="6575" w:type="dxa"/>
            <w:vAlign w:val="center"/>
          </w:tcPr>
          <w:p>
            <w:pPr>
              <w:ind w:firstLine="402" w:firstLineChars="200"/>
              <w:rPr>
                <w:rFonts w:asciiTheme="minorEastAsia" w:hAnsiTheme="minorEastAsia" w:eastAsiaTheme="minorEastAsia"/>
                <w:b/>
                <w:bCs/>
              </w:rPr>
            </w:pPr>
            <w:r>
              <w:rPr>
                <w:rFonts w:hint="eastAsia" w:ascii="宋体" w:hAnsi="宋体" w:cs="宋体"/>
                <w:b/>
                <w:bCs/>
                <w:snapToGrid w:val="0"/>
                <w:szCs w:val="21"/>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3</w:t>
            </w:r>
          </w:p>
        </w:tc>
        <w:tc>
          <w:tcPr>
            <w:tcW w:w="1907" w:type="dxa"/>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最高限价</w:t>
            </w:r>
          </w:p>
        </w:tc>
        <w:tc>
          <w:tcPr>
            <w:tcW w:w="6575" w:type="dxa"/>
            <w:vAlign w:val="center"/>
          </w:tcPr>
          <w:p>
            <w:pPr>
              <w:snapToGrid w:val="0"/>
              <w:ind w:firstLine="400" w:firstLineChars="200"/>
              <w:rPr>
                <w:rFonts w:asciiTheme="minorEastAsia" w:hAnsiTheme="minorEastAsia" w:eastAsiaTheme="minorEastAsia"/>
                <w:b/>
                <w:bCs/>
                <w:snapToGrid w:val="0"/>
              </w:rPr>
            </w:pPr>
            <w:r>
              <w:rPr>
                <w:rFonts w:hint="eastAsia" w:cs="宋体" w:asciiTheme="minorEastAsia" w:hAnsiTheme="minorEastAsia" w:eastAsiaTheme="minorEastAsia"/>
              </w:rPr>
              <w:t>本项目最高限价为人民</w:t>
            </w:r>
            <w:r>
              <w:rPr>
                <w:rFonts w:hint="eastAsia" w:cs="宋体" w:asciiTheme="minorEastAsia" w:hAnsiTheme="minorEastAsia" w:eastAsiaTheme="minorEastAsia"/>
                <w:color w:val="auto"/>
              </w:rPr>
              <w:t>币</w:t>
            </w:r>
            <w:r>
              <w:rPr>
                <w:rFonts w:hint="eastAsia" w:cs="宋体" w:asciiTheme="minorEastAsia" w:hAnsiTheme="minorEastAsia" w:eastAsiaTheme="minorEastAsia"/>
                <w:color w:val="auto"/>
                <w:u w:val="single"/>
                <w:lang w:eastAsia="zh-CN"/>
              </w:rPr>
              <w:t>650000</w:t>
            </w:r>
            <w:r>
              <w:rPr>
                <w:rFonts w:hint="eastAsia" w:cs="宋体" w:asciiTheme="minorEastAsia" w:hAnsiTheme="minorEastAsia" w:eastAsiaTheme="minorEastAsia"/>
                <w:color w:val="auto"/>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 xml:space="preserve">                                                                                                   4</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资格审查方式</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资格审查是指开标后，询价小组将依据法律法规和询价文件的规定对供应商的资格进行审查。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5</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踏勘现场</w:t>
            </w:r>
          </w:p>
        </w:tc>
        <w:tc>
          <w:tcPr>
            <w:tcW w:w="6575" w:type="dxa"/>
            <w:vAlign w:val="center"/>
          </w:tcPr>
          <w:p>
            <w:pPr>
              <w:snapToGrid w:val="0"/>
              <w:ind w:firstLine="402" w:firstLineChars="200"/>
              <w:rPr>
                <w:rFonts w:asciiTheme="minorEastAsia" w:hAnsiTheme="minorEastAsia" w:eastAsiaTheme="minorEastAsia"/>
                <w:snapToGrid w:val="0"/>
              </w:rPr>
            </w:pPr>
            <w:r>
              <w:rPr>
                <w:rFonts w:hint="eastAsia" w:cs="宋体" w:asciiTheme="minorEastAsia" w:hAnsiTheme="minorEastAsia" w:eastAsiaTheme="minorEastAsia"/>
                <w:b/>
                <w:bCs/>
                <w:snapToGrid w:val="0"/>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6</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询问</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供应商对政府采购活动事项有疑问的，可以向采购机构提出询问，采购人或者招标代理机构应当在</w:t>
            </w:r>
            <w:r>
              <w:rPr>
                <w:rFonts w:cs="宋体" w:asciiTheme="minorEastAsia" w:hAnsiTheme="minorEastAsia" w:eastAsiaTheme="minorEastAsia"/>
                <w:snapToGrid w:val="0"/>
              </w:rPr>
              <w:t>3</w:t>
            </w:r>
            <w:r>
              <w:rPr>
                <w:rFonts w:hint="eastAsia" w:cs="宋体" w:asciiTheme="minorEastAsia" w:hAnsiTheme="minorEastAsia" w:eastAsiaTheme="minorEastAsia"/>
                <w:snapToGrid w:val="0"/>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7</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询价文件的澄清与修改</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采购单位可以对已发出的询价文件进行必要澄清或者修改，澄清或者修改的内容可能影响响应文件编制的，应当在提交首次响应文件截</w:t>
            </w:r>
            <w:r>
              <w:rPr>
                <w:rFonts w:hint="eastAsia" w:cs="宋体" w:asciiTheme="minorEastAsia" w:hAnsiTheme="minorEastAsia" w:eastAsiaTheme="minorEastAsia"/>
                <w:snapToGrid w:val="0"/>
                <w:lang w:eastAsia="zh-CN"/>
              </w:rPr>
              <w:t>止</w:t>
            </w:r>
            <w:r>
              <w:rPr>
                <w:rFonts w:hint="eastAsia" w:cs="宋体" w:asciiTheme="minorEastAsia" w:hAnsiTheme="minorEastAsia" w:eastAsiaTheme="minorEastAsia"/>
                <w:snapToGrid w:val="0"/>
              </w:rPr>
              <w:t>时间至少3日前，在询价公告发布的媒体上发布更正公告。本项目询价文件和补充（答疑、澄清）、修改文件等请自行登录浙江政府采购网或绍兴市上虞区公共资源交易中心网站查看。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8</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询价响应文件组成</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9</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评标办法</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最低评标价法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10</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询价响应文件递交地址及截止时间</w:t>
            </w:r>
          </w:p>
        </w:tc>
        <w:tc>
          <w:tcPr>
            <w:tcW w:w="6575" w:type="dxa"/>
            <w:vAlign w:val="center"/>
          </w:tcPr>
          <w:p>
            <w:pPr>
              <w:snapToGrid w:val="0"/>
              <w:ind w:firstLine="400" w:firstLineChars="200"/>
              <w:rPr>
                <w:rFonts w:asciiTheme="minorEastAsia" w:hAnsiTheme="minorEastAsia" w:eastAsiaTheme="minorEastAsia"/>
              </w:rPr>
            </w:pPr>
            <w:r>
              <w:rPr>
                <w:rFonts w:hint="eastAsia" w:cs="宋体" w:asciiTheme="minorEastAsia" w:hAnsiTheme="minorEastAsia" w:eastAsiaTheme="minorEastAsia"/>
                <w:snapToGrid w:val="0"/>
              </w:rPr>
              <w:t>详见询价公告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11</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开标时间、地点</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开标时间：</w:t>
            </w:r>
            <w:r>
              <w:rPr>
                <w:rFonts w:hint="eastAsia" w:cs="宋体" w:asciiTheme="minorEastAsia" w:hAnsiTheme="minorEastAsia" w:eastAsiaTheme="minorEastAsia"/>
              </w:rPr>
              <w:t>详见询价公告</w:t>
            </w:r>
          </w:p>
          <w:p>
            <w:pPr>
              <w:snapToGrid w:val="0"/>
              <w:ind w:firstLine="400" w:firstLineChars="200"/>
              <w:rPr>
                <w:rFonts w:asciiTheme="minorEastAsia" w:hAnsiTheme="minorEastAsia" w:eastAsiaTheme="minorEastAsia"/>
              </w:rPr>
            </w:pPr>
            <w:r>
              <w:rPr>
                <w:rFonts w:hint="eastAsia" w:cs="宋体" w:asciiTheme="minorEastAsia" w:hAnsiTheme="minorEastAsia" w:eastAsiaTheme="minorEastAsia"/>
                <w:snapToGrid w:val="0"/>
              </w:rPr>
              <w:t>开标地点：</w:t>
            </w:r>
            <w:r>
              <w:rPr>
                <w:rFonts w:hint="eastAsia" w:cs="宋体" w:asciiTheme="minorEastAsia" w:hAnsiTheme="minorEastAsia" w:eastAsiaTheme="minorEastAsia"/>
              </w:rPr>
              <w:t>详见询价公告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12</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询价响应文件有效期</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响应文件有效期为从提交响应文件的截止之日起</w:t>
            </w:r>
            <w:r>
              <w:rPr>
                <w:rFonts w:cs="宋体" w:asciiTheme="minorEastAsia" w:hAnsiTheme="minorEastAsia" w:eastAsiaTheme="minorEastAsia"/>
                <w:snapToGrid w:val="0"/>
              </w:rPr>
              <w:t>90</w:t>
            </w:r>
            <w:r>
              <w:rPr>
                <w:rFonts w:hint="eastAsia" w:cs="宋体" w:asciiTheme="minorEastAsia" w:hAnsiTheme="minorEastAsia" w:eastAsiaTheme="minorEastAsia"/>
                <w:snapToGrid w:val="0"/>
              </w:rPr>
              <w:t>天。供应商的响应文件中承诺的响应文件有效期少于询价文件中载明的响应文件有效期的，询价无效。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13</w:t>
            </w:r>
          </w:p>
        </w:tc>
        <w:tc>
          <w:tcPr>
            <w:tcW w:w="1907"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询价保证金</w:t>
            </w:r>
          </w:p>
        </w:tc>
        <w:tc>
          <w:tcPr>
            <w:tcW w:w="6575" w:type="dxa"/>
            <w:vAlign w:val="center"/>
          </w:tcPr>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eastAsia="zh-CN"/>
              </w:rPr>
              <w:t>询价</w:t>
            </w:r>
            <w:r>
              <w:rPr>
                <w:rFonts w:hint="eastAsia" w:cs="宋体" w:asciiTheme="minorEastAsia" w:hAnsiTheme="minorEastAsia" w:eastAsiaTheme="minorEastAsia"/>
                <w:snapToGrid w:val="0"/>
              </w:rPr>
              <w:t>保证金：</w:t>
            </w:r>
            <w:r>
              <w:rPr>
                <w:rFonts w:hint="eastAsia" w:cs="宋体" w:asciiTheme="minorEastAsia" w:hAnsiTheme="minorEastAsia" w:eastAsiaTheme="minorEastAsia"/>
                <w:snapToGrid w:val="0"/>
                <w:u w:val="none"/>
                <w:lang w:val="en-US" w:eastAsia="zh-CN"/>
              </w:rPr>
              <w:t>人民币</w:t>
            </w:r>
            <w:r>
              <w:rPr>
                <w:rFonts w:hint="eastAsia" w:cs="宋体" w:asciiTheme="minorEastAsia" w:hAnsiTheme="minorEastAsia" w:eastAsiaTheme="minorEastAsia"/>
                <w:snapToGrid w:val="0"/>
                <w:u w:val="single"/>
                <w:lang w:val="en-US" w:eastAsia="zh-CN"/>
              </w:rPr>
              <w:t>陆仟</w:t>
            </w:r>
            <w:r>
              <w:rPr>
                <w:rFonts w:hint="eastAsia" w:cs="宋体" w:asciiTheme="minorEastAsia" w:hAnsiTheme="minorEastAsia" w:eastAsiaTheme="minorEastAsia"/>
                <w:snapToGrid w:val="0"/>
                <w:u w:val="none"/>
                <w:lang w:val="en-US" w:eastAsia="zh-CN"/>
              </w:rPr>
              <w:t>元整（小写：</w:t>
            </w:r>
            <w:r>
              <w:rPr>
                <w:rFonts w:hint="eastAsia" w:cs="宋体" w:asciiTheme="minorEastAsia" w:hAnsiTheme="minorEastAsia" w:eastAsiaTheme="minorEastAsia"/>
                <w:snapToGrid w:val="0"/>
                <w:u w:val="single"/>
                <w:lang w:val="en-US" w:eastAsia="zh-CN"/>
              </w:rPr>
              <w:t>6000元</w:t>
            </w:r>
            <w:r>
              <w:rPr>
                <w:rFonts w:hint="eastAsia" w:cs="宋体" w:asciiTheme="minorEastAsia" w:hAnsiTheme="minorEastAsia" w:eastAsiaTheme="minorEastAsia"/>
                <w:snapToGrid w:val="0"/>
                <w:u w:val="none"/>
                <w:lang w:val="en-US" w:eastAsia="zh-CN"/>
              </w:rPr>
              <w:t>）</w:t>
            </w:r>
          </w:p>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账户名称：绍兴明晨建设项目管理有限公司上虞分公司</w:t>
            </w:r>
          </w:p>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开户银行：浙江上虞农村商业银行股份有限公司虞城支行凤山分理处</w:t>
            </w:r>
          </w:p>
          <w:p>
            <w:pPr>
              <w:snapToGrid w:val="0"/>
              <w:ind w:firstLine="400" w:firstLineChars="200"/>
              <w:rPr>
                <w:rFonts w:hint="default"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帐    号：201000153064798</w:t>
            </w:r>
          </w:p>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投标保证金的缴存方式：网上银行或柜面电汇或柜面行内转账</w:t>
            </w:r>
          </w:p>
          <w:p>
            <w:pPr>
              <w:snapToGrid w:val="0"/>
              <w:ind w:firstLine="400" w:firstLineChars="200"/>
              <w:rPr>
                <w:rFonts w:cs="宋体" w:asciiTheme="minorEastAsia" w:hAnsiTheme="minorEastAsia" w:eastAsiaTheme="minorEastAsia"/>
                <w:snapToGrid w:val="0"/>
              </w:rPr>
            </w:pPr>
            <w:r>
              <w:rPr>
                <w:rFonts w:hint="eastAsia" w:cs="宋体" w:asciiTheme="minorEastAsia" w:hAnsiTheme="minorEastAsia" w:eastAsiaTheme="minorEastAsia"/>
                <w:snapToGrid w:val="0"/>
                <w:lang w:val="en-US" w:eastAsia="zh-CN"/>
              </w:rPr>
              <w:t>投标保证金的缴存时间：投标保证金应在投标文件截止时间之前到账，按不少于规定的金额交纳投标保证金，投标保证金以到账时间为准。若产生到账时间晚于保证金缴存截止时间或缴纳不足额，一律视为不响应招标文件，投标文件按无效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4</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履约保证金</w:t>
            </w:r>
          </w:p>
        </w:tc>
        <w:tc>
          <w:tcPr>
            <w:tcW w:w="6575" w:type="dxa"/>
            <w:vAlign w:val="center"/>
          </w:tcPr>
          <w:p>
            <w:pPr>
              <w:ind w:firstLine="400" w:firstLineChars="200"/>
              <w:jc w:val="left"/>
              <w:rPr>
                <w:rFonts w:ascii="宋体" w:hAnsi="宋体"/>
                <w:color w:val="000000"/>
                <w:szCs w:val="21"/>
              </w:rPr>
            </w:pPr>
            <w:r>
              <w:rPr>
                <w:rFonts w:hint="eastAsia" w:hAnsi="宋体"/>
              </w:rPr>
              <w:t>中标人在收到中标通知书后，需向采购人提供合同总价</w:t>
            </w:r>
            <w:r>
              <w:rPr>
                <w:rFonts w:hint="eastAsia" w:hAnsi="宋体"/>
                <w:u w:val="single"/>
              </w:rPr>
              <w:t>　1　</w:t>
            </w:r>
            <w:r>
              <w:rPr>
                <w:rFonts w:hint="eastAsia" w:hAnsi="宋体"/>
              </w:rPr>
              <w:t>%的履约保证金</w:t>
            </w:r>
            <w:r>
              <w:rPr>
                <w:rFonts w:hint="eastAsia" w:ascii="宋体" w:hAnsi="宋体"/>
                <w:color w:val="000000"/>
                <w:szCs w:val="21"/>
              </w:rPr>
              <w:t>（进位取整到元）</w:t>
            </w:r>
            <w:r>
              <w:rPr>
                <w:rFonts w:hint="eastAsia" w:hAnsi="宋体"/>
              </w:rPr>
              <w:t>，在中标人与采购人签订合同前递交</w:t>
            </w:r>
            <w:r>
              <w:rPr>
                <w:rFonts w:hint="eastAsia" w:ascii="宋体" w:hAnsi="宋体"/>
                <w:color w:val="000000"/>
                <w:szCs w:val="21"/>
              </w:rPr>
              <w:t>（中标人应当以电汇、汇票或银行保函的形式提交）</w:t>
            </w:r>
            <w:r>
              <w:rPr>
                <w:rFonts w:hint="eastAsia" w:hAnsi="宋体"/>
              </w:rPr>
              <w:t>。</w:t>
            </w:r>
          </w:p>
          <w:p>
            <w:pPr>
              <w:pStyle w:val="15"/>
              <w:snapToGrid w:val="0"/>
              <w:ind w:firstLine="400" w:firstLineChars="200"/>
              <w:rPr>
                <w:rFonts w:cs="Times New Roman" w:asciiTheme="minorEastAsia" w:hAnsiTheme="minorEastAsia" w:eastAsiaTheme="minorEastAsia"/>
              </w:rPr>
            </w:pPr>
            <w:r>
              <w:rPr>
                <w:rFonts w:hint="eastAsia" w:ascii="宋体" w:hAnsi="宋体"/>
                <w:color w:val="000000"/>
                <w:szCs w:val="21"/>
              </w:rPr>
              <w:t>本</w:t>
            </w:r>
            <w:r>
              <w:rPr>
                <w:rFonts w:hint="eastAsia" w:ascii="宋体" w:hAnsi="宋体"/>
                <w:color w:val="000000"/>
                <w:sz w:val="18"/>
                <w:szCs w:val="18"/>
              </w:rPr>
              <w:t>项</w:t>
            </w:r>
            <w:r>
              <w:rPr>
                <w:rFonts w:hint="eastAsia" w:ascii="宋体" w:hAnsi="宋体"/>
                <w:color w:val="000000"/>
                <w:sz w:val="20"/>
                <w:szCs w:val="20"/>
              </w:rPr>
              <w:t>目</w:t>
            </w:r>
            <w:r>
              <w:rPr>
                <w:rFonts w:hint="eastAsia" w:ascii="宋体" w:hAnsi="宋体" w:cs="宋体"/>
                <w:sz w:val="20"/>
                <w:szCs w:val="20"/>
              </w:rPr>
              <w:t>完成全部供货并提交全部资料并通过验收合格后</w:t>
            </w:r>
            <w:r>
              <w:rPr>
                <w:rFonts w:hint="eastAsia" w:ascii="宋体" w:hAnsi="宋体"/>
                <w:color w:val="000000"/>
                <w:sz w:val="20"/>
                <w:szCs w:val="20"/>
              </w:rPr>
              <w:t>，</w:t>
            </w:r>
            <w:r>
              <w:rPr>
                <w:rFonts w:hint="eastAsia" w:ascii="宋体" w:hAnsi="宋体"/>
                <w:color w:val="000000"/>
                <w:szCs w:val="21"/>
              </w:rPr>
              <w:t>采购人无息退还履约保证金，采购人以保函形式提交履约担保的，保函自动失效（由于中标人引起的工期延误的，则履约担保有效期顺延）。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5</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询价公告及成交结果公告发布媒体</w:t>
            </w:r>
          </w:p>
        </w:tc>
        <w:tc>
          <w:tcPr>
            <w:tcW w:w="6575" w:type="dxa"/>
            <w:vAlign w:val="center"/>
          </w:tcPr>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浙江省政府采购网、绍兴市上虞区公共资源交易中心网站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6</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质疑</w:t>
            </w:r>
          </w:p>
        </w:tc>
        <w:tc>
          <w:tcPr>
            <w:tcW w:w="6575" w:type="dxa"/>
            <w:vAlign w:val="center"/>
          </w:tcPr>
          <w:p>
            <w:pPr>
              <w:ind w:firstLine="400" w:firstLineChars="200"/>
              <w:jc w:val="left"/>
              <w:rPr>
                <w:rFonts w:asciiTheme="minorEastAsia" w:hAnsiTheme="minorEastAsia" w:eastAsiaTheme="minorEastAsia"/>
              </w:rPr>
            </w:pPr>
            <w:r>
              <w:rPr>
                <w:rFonts w:hint="eastAsia" w:cs="宋体" w:asciiTheme="minorEastAsia" w:hAnsiTheme="minorEastAsia" w:eastAsiaTheme="minorEastAsia"/>
              </w:rPr>
              <w:t>根据《中华人民共和国政府采购法》第五十二条、《中华人民共和国政府采购法实施条例》第五十三条、《浙江省政府采购供应商质疑处理办法》的规定：</w:t>
            </w:r>
          </w:p>
          <w:p>
            <w:pPr>
              <w:ind w:firstLine="400" w:firstLineChars="200"/>
              <w:jc w:val="left"/>
              <w:rPr>
                <w:rFonts w:asciiTheme="minorEastAsia" w:hAnsiTheme="minorEastAsia" w:eastAsiaTheme="minorEastAsia"/>
              </w:rPr>
            </w:pPr>
            <w:r>
              <w:rPr>
                <w:rFonts w:hint="eastAsia" w:cs="宋体" w:asciiTheme="minorEastAsia" w:hAnsiTheme="minorEastAsia" w:eastAsiaTheme="minorEastAsia"/>
              </w:rPr>
              <w:t>供应商认为询价文件使自己的权益受到损害的，可以在询价文件公告期限届满之日（公告发布后的第3个工作日）起</w:t>
            </w:r>
            <w:r>
              <w:rPr>
                <w:rFonts w:cs="宋体" w:asciiTheme="minorEastAsia" w:hAnsiTheme="minorEastAsia" w:eastAsiaTheme="minorEastAsia"/>
              </w:rPr>
              <w:t>7</w:t>
            </w:r>
            <w:r>
              <w:rPr>
                <w:rFonts w:hint="eastAsia" w:cs="宋体" w:asciiTheme="minorEastAsia" w:hAnsiTheme="minorEastAsia" w:eastAsiaTheme="minorEastAsia"/>
              </w:rPr>
              <w:t>个工作日内，以书面形式向采购人和采购代理机构提出质疑。供应商在法定质疑期内应一次性提出针对同一采购程序环节的质疑。否则质疑将不予受理。</w:t>
            </w:r>
          </w:p>
          <w:p>
            <w:pPr>
              <w:ind w:firstLine="400" w:firstLineChars="200"/>
              <w:jc w:val="left"/>
              <w:rPr>
                <w:rFonts w:asciiTheme="minorEastAsia" w:hAnsiTheme="minorEastAsia" w:eastAsiaTheme="minorEastAsia"/>
              </w:rPr>
            </w:pPr>
            <w:r>
              <w:rPr>
                <w:rFonts w:hint="eastAsia" w:cs="宋体" w:asciiTheme="minorEastAsia" w:hAnsiTheme="minorEastAsia" w:eastAsiaTheme="minorEastAsia"/>
              </w:rPr>
              <w:t>供应商如认为采购过程使自身的合法权益受到损害的，应于各采购程序环节结束之日起七个工作日内以书面形式向采购机构提出质疑；</w:t>
            </w:r>
          </w:p>
          <w:p>
            <w:pPr>
              <w:snapToGrid w:val="0"/>
              <w:ind w:firstLine="400" w:firstLineChars="200"/>
              <w:jc w:val="left"/>
              <w:rPr>
                <w:rFonts w:asciiTheme="minorEastAsia" w:hAnsiTheme="minorEastAsia" w:eastAsiaTheme="minorEastAsia"/>
                <w:snapToGrid w:val="0"/>
              </w:rPr>
            </w:pPr>
            <w:r>
              <w:rPr>
                <w:rFonts w:hint="eastAsia" w:cs="宋体" w:asciiTheme="minorEastAsia" w:hAnsiTheme="minorEastAsia" w:eastAsiaTheme="minorEastAsia"/>
              </w:rPr>
              <w:t>供应商如认为中标结果使自身的合法权益受到损害的，应于中标或者成交结果公告期限届满之日起七个工作日内以书面形式向采购机构提出质疑</w:t>
            </w:r>
            <w:r>
              <w:rPr>
                <w:rFonts w:hint="eastAsia" w:cs="宋体" w:asciiTheme="minorEastAsia" w:hAnsiTheme="minorEastAsia" w:eastAsiaTheme="minorEastAsia"/>
                <w:snapToGrid w:val="0"/>
              </w:rPr>
              <w:t>。</w:t>
            </w:r>
            <w:r>
              <w:rPr>
                <w:rFonts w:hint="eastAsia" w:ascii="宋体" w:hAnsi="宋体" w:cs="宋体"/>
              </w:rPr>
              <w:t>质疑函范本请到浙江政府采购网下载专区下载。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7</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投诉</w:t>
            </w:r>
          </w:p>
        </w:tc>
        <w:tc>
          <w:tcPr>
            <w:tcW w:w="6575" w:type="dxa"/>
            <w:vAlign w:val="center"/>
          </w:tcPr>
          <w:p>
            <w:pPr>
              <w:snapToGrid w:val="0"/>
              <w:ind w:firstLine="400" w:firstLineChars="200"/>
              <w:jc w:val="left"/>
              <w:rPr>
                <w:rFonts w:asciiTheme="minorEastAsia" w:hAnsiTheme="minorEastAsia" w:eastAsiaTheme="minorEastAsia"/>
                <w:snapToGrid w:val="0"/>
              </w:rPr>
            </w:pPr>
            <w:r>
              <w:rPr>
                <w:rFonts w:hint="eastAsia" w:cs="宋体" w:asciiTheme="minorEastAsia" w:hAnsiTheme="minorEastAsia" w:eastAsiaTheme="minorEastAsia"/>
                <w:snapToGrid w:val="0"/>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r>
              <w:rPr>
                <w:rFonts w:hint="eastAsia" w:ascii="宋体" w:hAnsi="宋体" w:cs="宋体"/>
              </w:rPr>
              <w:t>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8</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特别说明</w:t>
            </w:r>
          </w:p>
        </w:tc>
        <w:tc>
          <w:tcPr>
            <w:tcW w:w="6575" w:type="dxa"/>
            <w:vAlign w:val="center"/>
          </w:tcPr>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供应商应无条件的、认真仔细的阅读本询价文件及其澄清答疑、修改答复的补充文件，严格按照询价文件及补充文件的规定和要求编制响应文件。在编制响应文件过程中，应严格遵循实事求是、诚信投标的原则，针对询价文件中的采购需求、合同条款等各项内容进行确认，如有偏离，应如实填写响应偏离表。</w:t>
            </w:r>
          </w:p>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质疑、投诉人未按前列进行质疑、投诉（申诉），均属于扰乱政府采购市场不良行为。</w:t>
            </w:r>
          </w:p>
          <w:p>
            <w:pPr>
              <w:pStyle w:val="15"/>
              <w:snapToGrid w:val="0"/>
              <w:ind w:firstLine="400" w:firstLineChars="200"/>
              <w:rPr>
                <w:rFonts w:cs="Times New Roman" w:asciiTheme="minorEastAsia" w:hAnsiTheme="minorEastAsia" w:eastAsiaTheme="minorEastAsia"/>
                <w:b/>
                <w:bCs/>
              </w:rPr>
            </w:pPr>
            <w:r>
              <w:rPr>
                <w:rFonts w:hint="eastAsia" w:asciiTheme="minorEastAsia" w:hAnsiTheme="minorEastAsia" w:eastAsiaTheme="minorEastAsia"/>
              </w:rPr>
              <w:t>询价文件中凡标注“★”的条款均为实质性要求，不响应的响应文件将作无效标处理。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19</w:t>
            </w:r>
          </w:p>
        </w:tc>
        <w:tc>
          <w:tcPr>
            <w:tcW w:w="1907" w:type="dxa"/>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招标代理服务费</w:t>
            </w:r>
          </w:p>
        </w:tc>
        <w:tc>
          <w:tcPr>
            <w:tcW w:w="6575" w:type="dxa"/>
            <w:vAlign w:val="center"/>
          </w:tcPr>
          <w:p>
            <w:pPr>
              <w:pStyle w:val="15"/>
              <w:snapToGrid w:val="0"/>
              <w:ind w:firstLine="400" w:firstLineChars="200"/>
              <w:rPr>
                <w:rFonts w:hint="eastAsia" w:cs="宋体" w:asciiTheme="minorEastAsia" w:hAnsiTheme="minorEastAsia" w:eastAsiaTheme="minorEastAsia"/>
                <w:lang w:val="en-US" w:eastAsia="zh-CN"/>
              </w:rPr>
            </w:pPr>
            <w:r>
              <w:rPr>
                <w:rFonts w:hint="eastAsia" w:cs="宋体" w:asciiTheme="minorEastAsia" w:hAnsiTheme="minorEastAsia" w:eastAsiaTheme="minorEastAsia"/>
                <w:lang w:val="en-US" w:eastAsia="zh-CN"/>
              </w:rPr>
              <w:t>代理费用：中标（成交）供应商需向采购代理机构支付采购代理服务费，本次服务费按5000元收取。</w:t>
            </w:r>
          </w:p>
          <w:p>
            <w:pPr>
              <w:pStyle w:val="15"/>
              <w:snapToGrid w:val="0"/>
              <w:ind w:firstLine="400" w:firstLineChars="200"/>
              <w:rPr>
                <w:rFonts w:cs="宋体" w:asciiTheme="minorEastAsia" w:hAnsiTheme="minorEastAsia" w:eastAsiaTheme="minorEastAsia"/>
                <w:snapToGrid w:val="0"/>
              </w:rPr>
            </w:pPr>
            <w:r>
              <w:rPr>
                <w:rFonts w:hint="eastAsia" w:cs="宋体" w:asciiTheme="minorEastAsia" w:hAnsiTheme="minorEastAsia" w:eastAsiaTheme="minorEastAsia"/>
                <w:lang w:val="en-US" w:eastAsia="zh-CN"/>
              </w:rPr>
              <w:t>结算方式及时间为：领取中标通知书时由中标人一次性向采购代理机构付清。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20</w:t>
            </w:r>
          </w:p>
        </w:tc>
        <w:tc>
          <w:tcPr>
            <w:tcW w:w="1907" w:type="dxa"/>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是否允许分包</w:t>
            </w:r>
          </w:p>
        </w:tc>
        <w:tc>
          <w:tcPr>
            <w:tcW w:w="6575" w:type="dxa"/>
            <w:vAlign w:val="center"/>
          </w:tcPr>
          <w:p>
            <w:pPr>
              <w:ind w:firstLine="400" w:firstLineChars="200"/>
              <w:rPr>
                <w:rFonts w:asciiTheme="minorEastAsia" w:hAnsiTheme="minorEastAsia" w:eastAsiaTheme="minorEastAsia"/>
              </w:rPr>
            </w:pPr>
            <w:r>
              <w:rPr>
                <w:rFonts w:hint="eastAsia" w:cs="宋体" w:asciiTheme="minorEastAsia" w:hAnsiTheme="minorEastAsia" w:eastAsiaTheme="minorEastAsia"/>
              </w:rPr>
              <w:t>本项目</w:t>
            </w:r>
            <w:r>
              <w:rPr>
                <w:rFonts w:hint="eastAsia" w:cs="宋体" w:asciiTheme="minorEastAsia" w:hAnsiTheme="minorEastAsia" w:eastAsiaTheme="minorEastAsia"/>
                <w:u w:val="single"/>
              </w:rPr>
              <w:t>不允许</w:t>
            </w:r>
            <w:r>
              <w:rPr>
                <w:rFonts w:hint="eastAsia" w:cs="宋体" w:asciiTheme="minorEastAsia" w:hAnsiTheme="minorEastAsia" w:eastAsiaTheme="minorEastAsia"/>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21</w:t>
            </w:r>
          </w:p>
        </w:tc>
        <w:tc>
          <w:tcPr>
            <w:tcW w:w="1907" w:type="dxa"/>
            <w:tcBorders>
              <w:top w:val="single" w:color="auto" w:sz="4" w:space="0"/>
            </w:tcBorders>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是否提供演示</w:t>
            </w:r>
          </w:p>
        </w:tc>
        <w:tc>
          <w:tcPr>
            <w:tcW w:w="6575" w:type="dxa"/>
            <w:tcBorders>
              <w:top w:val="single" w:color="auto" w:sz="4" w:space="0"/>
            </w:tcBorders>
            <w:vAlign w:val="center"/>
          </w:tcPr>
          <w:p>
            <w:pPr>
              <w:ind w:firstLine="400" w:firstLineChars="200"/>
              <w:rPr>
                <w:rFonts w:cs="宋体" w:asciiTheme="minorEastAsia" w:hAnsiTheme="minorEastAsia" w:eastAsiaTheme="minorEastAsia"/>
                <w:b/>
                <w:bCs/>
              </w:rPr>
            </w:pPr>
            <w:r>
              <w:rPr>
                <w:rFonts w:hint="eastAsia" w:cs="宋体" w:asciiTheme="minorEastAsia" w:hAnsiTheme="minorEastAsia" w:eastAsiaTheme="minorEastAsia"/>
              </w:rPr>
              <w:t>本项目</w:t>
            </w:r>
            <w:r>
              <w:rPr>
                <w:rFonts w:hint="eastAsia" w:ascii="宋体" w:hAnsi="宋体" w:cs="宋体"/>
                <w:u w:val="single"/>
              </w:rPr>
              <w:t>不需要</w:t>
            </w:r>
            <w:r>
              <w:rPr>
                <w:rFonts w:hint="eastAsia" w:ascii="宋体" w:hAnsi="宋体" w:cs="宋体"/>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22</w:t>
            </w:r>
          </w:p>
        </w:tc>
        <w:tc>
          <w:tcPr>
            <w:tcW w:w="1907" w:type="dxa"/>
            <w:tcBorders>
              <w:top w:val="single" w:color="auto" w:sz="4" w:space="0"/>
            </w:tcBorders>
            <w:vAlign w:val="center"/>
          </w:tcPr>
          <w:p>
            <w:pPr>
              <w:snapToGrid w:val="0"/>
              <w:jc w:val="center"/>
              <w:rPr>
                <w:rFonts w:cs="宋体" w:asciiTheme="minorEastAsia" w:hAnsiTheme="minorEastAsia" w:eastAsiaTheme="minorEastAsia"/>
              </w:rPr>
            </w:pPr>
            <w:r>
              <w:rPr>
                <w:rFonts w:hint="eastAsia" w:ascii="宋体" w:hAnsi="宋体" w:cs="宋体"/>
                <w:szCs w:val="21"/>
              </w:rPr>
              <w:t>是否提供样品</w:t>
            </w:r>
          </w:p>
        </w:tc>
        <w:tc>
          <w:tcPr>
            <w:tcW w:w="6575" w:type="dxa"/>
            <w:tcBorders>
              <w:top w:val="single" w:color="auto" w:sz="4" w:space="0"/>
            </w:tcBorders>
            <w:vAlign w:val="center"/>
          </w:tcPr>
          <w:p>
            <w:pPr>
              <w:ind w:firstLine="400" w:firstLineChars="200"/>
              <w:rPr>
                <w:rFonts w:ascii="宋体" w:hAnsi="宋体" w:cs="宋体"/>
                <w:szCs w:val="21"/>
              </w:rPr>
            </w:pPr>
            <w:r>
              <w:rPr>
                <w:rFonts w:hint="eastAsia" w:ascii="宋体" w:hAnsi="宋体" w:cs="宋体"/>
                <w:szCs w:val="21"/>
              </w:rPr>
              <w:t>本项目</w:t>
            </w:r>
            <w:r>
              <w:rPr>
                <w:rFonts w:hint="eastAsia" w:ascii="宋体" w:hAnsi="宋体" w:cs="宋体"/>
                <w:szCs w:val="21"/>
                <w:u w:val="single"/>
              </w:rPr>
              <w:t>不需要</w:t>
            </w:r>
            <w:r>
              <w:rPr>
                <w:rFonts w:hint="eastAsia" w:ascii="宋体" w:hAnsi="宋体" w:cs="宋体"/>
                <w:szCs w:val="21"/>
              </w:rPr>
              <w:t>提供样品。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23</w:t>
            </w:r>
          </w:p>
        </w:tc>
        <w:tc>
          <w:tcPr>
            <w:tcW w:w="1907" w:type="dxa"/>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供应商信用信息查询渠道及截止时点、信用信息查询记录和证据留存的具体方式、信用信息的使用规则</w:t>
            </w:r>
          </w:p>
        </w:tc>
        <w:tc>
          <w:tcPr>
            <w:tcW w:w="6575" w:type="dxa"/>
            <w:vAlign w:val="center"/>
          </w:tcPr>
          <w:p>
            <w:pPr>
              <w:ind w:firstLine="400" w:firstLineChars="200"/>
              <w:rPr>
                <w:rFonts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、查询渠道：信用中国（网址：</w:t>
            </w:r>
            <w:r>
              <w:rPr>
                <w:rFonts w:cs="宋体" w:asciiTheme="minorEastAsia" w:hAnsiTheme="minorEastAsia" w:eastAsiaTheme="minorEastAsia"/>
              </w:rPr>
              <w:t>http://www.creditchina.gov.cn</w:t>
            </w:r>
            <w:r>
              <w:rPr>
                <w:rFonts w:hint="eastAsia" w:cs="宋体" w:asciiTheme="minorEastAsia" w:hAnsiTheme="minorEastAsia" w:eastAsiaTheme="minorEastAsia"/>
              </w:rPr>
              <w:t>）、中国政府采购网</w:t>
            </w:r>
            <w:r>
              <w:rPr>
                <w:rFonts w:cs="宋体" w:asciiTheme="minorEastAsia" w:hAnsiTheme="minorEastAsia" w:eastAsiaTheme="minorEastAsia"/>
              </w:rPr>
              <w:t>(</w:t>
            </w:r>
            <w:r>
              <w:rPr>
                <w:rFonts w:hint="eastAsia" w:cs="宋体" w:asciiTheme="minorEastAsia" w:hAnsiTheme="minorEastAsia" w:eastAsiaTheme="minorEastAsia"/>
              </w:rPr>
              <w:t>网址：</w:t>
            </w:r>
            <w:r>
              <w:rPr>
                <w:rFonts w:cs="宋体" w:asciiTheme="minorEastAsia" w:hAnsiTheme="minorEastAsia" w:eastAsiaTheme="minorEastAsia"/>
              </w:rPr>
              <w:t>http://www.ccgp.gov.cn</w:t>
            </w:r>
            <w:r>
              <w:rPr>
                <w:rFonts w:hint="eastAsia" w:cs="宋体" w:asciiTheme="minorEastAsia" w:hAnsiTheme="minorEastAsia" w:eastAsiaTheme="minorEastAsia"/>
              </w:rPr>
              <w:t>）。</w:t>
            </w:r>
          </w:p>
          <w:p>
            <w:pPr>
              <w:ind w:firstLine="400" w:firstLineChars="200"/>
              <w:rPr>
                <w:rFonts w:asciiTheme="minorEastAsia" w:hAnsiTheme="minorEastAsia" w:eastAsiaTheme="minorEastAsia"/>
              </w:rPr>
            </w:pPr>
            <w:r>
              <w:rPr>
                <w:rFonts w:cs="宋体" w:asciiTheme="minorEastAsia" w:hAnsiTheme="minorEastAsia" w:eastAsiaTheme="minorEastAsia"/>
              </w:rPr>
              <w:t>2</w:t>
            </w:r>
            <w:r>
              <w:rPr>
                <w:rFonts w:hint="eastAsia" w:cs="宋体" w:asciiTheme="minorEastAsia" w:hAnsiTheme="minorEastAsia" w:eastAsiaTheme="minorEastAsia"/>
              </w:rPr>
              <w:t>、截止时点：开标后评标前。</w:t>
            </w:r>
          </w:p>
          <w:p>
            <w:pPr>
              <w:ind w:firstLine="400" w:firstLineChars="200"/>
              <w:rPr>
                <w:rFonts w:asciiTheme="minorEastAsia" w:hAnsiTheme="minorEastAsia" w:eastAsiaTheme="minorEastAsia"/>
              </w:rPr>
            </w:pPr>
            <w:r>
              <w:rPr>
                <w:rFonts w:cs="宋体" w:asciiTheme="minorEastAsia" w:hAnsiTheme="minorEastAsia" w:eastAsiaTheme="minorEastAsia"/>
              </w:rPr>
              <w:t>3</w:t>
            </w:r>
            <w:r>
              <w:rPr>
                <w:rFonts w:hint="eastAsia" w:cs="宋体" w:asciiTheme="minorEastAsia" w:hAnsiTheme="minorEastAsia" w:eastAsiaTheme="minorEastAsia"/>
              </w:rPr>
              <w:t>、信用信息查询记录和证据留存的具体方式：由采购组织机构在规定查询时间内打印信用信息查询记录并归入项目档案。</w:t>
            </w:r>
          </w:p>
          <w:p>
            <w:pPr>
              <w:ind w:firstLine="400" w:firstLineChars="200"/>
              <w:rPr>
                <w:rFonts w:asciiTheme="minorEastAsia" w:hAnsiTheme="minorEastAsia" w:eastAsiaTheme="minorEastAsia"/>
              </w:rPr>
            </w:pPr>
            <w:r>
              <w:rPr>
                <w:rFonts w:cs="宋体" w:asciiTheme="minorEastAsia" w:hAnsiTheme="minorEastAsia" w:eastAsiaTheme="minorEastAsia"/>
              </w:rPr>
              <w:t>4</w:t>
            </w:r>
            <w:r>
              <w:rPr>
                <w:rFonts w:hint="eastAsia" w:cs="宋体" w:asciiTheme="minorEastAsia" w:hAnsiTheme="minorEastAsia" w:eastAsiaTheme="minorEastAsia"/>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24</w:t>
            </w:r>
          </w:p>
        </w:tc>
        <w:tc>
          <w:tcPr>
            <w:tcW w:w="1907" w:type="dxa"/>
            <w:tcBorders>
              <w:bottom w:val="double" w:color="auto" w:sz="4" w:space="0"/>
            </w:tcBorders>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其他</w:t>
            </w:r>
          </w:p>
        </w:tc>
        <w:tc>
          <w:tcPr>
            <w:tcW w:w="6575" w:type="dxa"/>
            <w:tcBorders>
              <w:bottom w:val="double" w:color="auto" w:sz="4" w:space="0"/>
            </w:tcBorders>
            <w:vAlign w:val="center"/>
          </w:tcPr>
          <w:p>
            <w:pPr>
              <w:ind w:firstLine="402" w:firstLineChars="200"/>
              <w:rPr>
                <w:rFonts w:hint="eastAsia" w:ascii="宋体" w:hAnsi="宋体" w:cs="宋体"/>
                <w:b/>
                <w:bCs/>
                <w:szCs w:val="20"/>
              </w:rPr>
            </w:pPr>
            <w:r>
              <w:rPr>
                <w:rFonts w:hint="eastAsia" w:ascii="宋体" w:hAnsi="宋体" w:cs="宋体"/>
                <w:b/>
                <w:bCs/>
                <w:szCs w:val="20"/>
              </w:rPr>
              <w:t>1、本采购文件要求提供的身份证复印件皆需提供正反面，否则按不提供处理。</w:t>
            </w:r>
          </w:p>
          <w:p>
            <w:pPr>
              <w:ind w:firstLine="402" w:firstLineChars="200"/>
              <w:rPr>
                <w:rFonts w:asciiTheme="minorEastAsia" w:hAnsiTheme="minorEastAsia" w:eastAsiaTheme="minorEastAsia"/>
                <w:b/>
                <w:bCs/>
              </w:rPr>
            </w:pPr>
            <w:r>
              <w:rPr>
                <w:rFonts w:hint="eastAsia" w:ascii="宋体" w:hAnsi="宋体" w:cs="宋体"/>
                <w:b/>
                <w:bCs/>
              </w:rPr>
              <w:t>2、若本项目涉及柴油动力移动源的应当符合低排放要求。</w:t>
            </w:r>
            <w:r>
              <w:rPr>
                <w:rFonts w:hint="default" w:ascii="宋体" w:hAnsi="宋体" w:eastAsia="宋体" w:cs="宋体"/>
                <w:b/>
                <w:bCs/>
                <w:color w:val="000000"/>
              </w:rPr>
              <w:t xml:space="preserve">    </w:t>
            </w:r>
          </w:p>
        </w:tc>
      </w:tr>
    </w:tbl>
    <w:p>
      <w:pPr>
        <w:pStyle w:val="3"/>
        <w:spacing w:line="360" w:lineRule="auto"/>
        <w:rPr>
          <w:rFonts w:asciiTheme="minorEastAsia" w:hAnsiTheme="minorEastAsia" w:eastAsiaTheme="minorEastAsia"/>
        </w:rPr>
        <w:sectPr>
          <w:footerReference r:id="rId4" w:type="default"/>
          <w:pgSz w:w="11906" w:h="16838"/>
          <w:pgMar w:top="1440" w:right="1800" w:bottom="1440" w:left="1800" w:header="851" w:footer="992" w:gutter="0"/>
          <w:cols w:space="425" w:num="1"/>
          <w:docGrid w:type="lines" w:linePitch="312" w:charSpace="0"/>
        </w:sectPr>
      </w:pPr>
      <w:r>
        <w:rPr>
          <w:rFonts w:hint="eastAsia" w:cs="宋体" w:asciiTheme="minorEastAsia" w:hAnsiTheme="minorEastAsia" w:eastAsiaTheme="minorEastAsia"/>
          <w:sz w:val="24"/>
          <w:szCs w:val="24"/>
        </w:rPr>
        <w:t>注：以上内容如有变化将另行通知。如通知其中某一内容发生变化，其余未提及的将不作变动。</w:t>
      </w:r>
    </w:p>
    <w:p>
      <w:pPr>
        <w:pStyle w:val="2"/>
        <w:numPr>
          <w:ilvl w:val="0"/>
          <w:numId w:val="7"/>
        </w:numPr>
        <w:jc w:val="center"/>
        <w:rPr>
          <w:rFonts w:cs="Times New Roman" w:asciiTheme="minorEastAsia" w:hAnsiTheme="minorEastAsia" w:eastAsiaTheme="minorEastAsia"/>
        </w:rPr>
      </w:pPr>
      <w:bookmarkStart w:id="10" w:name="_Toc25187"/>
      <w:bookmarkStart w:id="11" w:name="_Toc110244147"/>
      <w:r>
        <w:rPr>
          <w:rFonts w:hint="eastAsia" w:asciiTheme="minorEastAsia" w:hAnsiTheme="minorEastAsia" w:eastAsiaTheme="minorEastAsia"/>
        </w:rPr>
        <w:t>总则</w:t>
      </w:r>
      <w:bookmarkEnd w:id="10"/>
      <w:bookmarkEnd w:id="11"/>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本次招标工作是按照《上虞区区属国有企业货物和服务采购管理办法》等相关法律、组织和实施，并由相关管理部门指导和监督。</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适用范围</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本次询价工作仅适用于</w:t>
      </w:r>
      <w:r>
        <w:rPr>
          <w:rFonts w:hint="eastAsia" w:cs="宋体" w:asciiTheme="minorEastAsia" w:hAnsiTheme="minorEastAsia" w:eastAsiaTheme="minorEastAsia"/>
          <w:sz w:val="24"/>
          <w:szCs w:val="24"/>
          <w:u w:val="single"/>
          <w:lang w:eastAsia="zh-CN"/>
        </w:rPr>
        <w:t>建设大厦食堂设施设备采购</w:t>
      </w:r>
      <w:r>
        <w:rPr>
          <w:rFonts w:hint="eastAsia" w:cs="宋体" w:asciiTheme="minorEastAsia" w:hAnsiTheme="minorEastAsia" w:eastAsiaTheme="minorEastAsia"/>
          <w:sz w:val="24"/>
          <w:szCs w:val="24"/>
        </w:rPr>
        <w:t>。</w:t>
      </w:r>
    </w:p>
    <w:p>
      <w:pPr>
        <w:pStyle w:val="1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1.2</w:t>
      </w:r>
      <w:r>
        <w:rPr>
          <w:rFonts w:hint="eastAsia" w:cs="宋体" w:asciiTheme="minorEastAsia" w:hAnsiTheme="minorEastAsia" w:eastAsiaTheme="minorEastAsia"/>
          <w:sz w:val="24"/>
          <w:szCs w:val="24"/>
        </w:rPr>
        <w:t>本项目采购方式采用询价方式。</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rPr>
        <w:t>定义</w:t>
      </w:r>
    </w:p>
    <w:p>
      <w:pPr>
        <w:spacing w:line="336" w:lineRule="auto"/>
        <w:ind w:firstLine="480" w:firstLineChars="200"/>
        <w:rPr>
          <w:rFonts w:asciiTheme="minorEastAsia" w:hAnsiTheme="minorEastAsia" w:eastAsiaTheme="minorEastAsia"/>
          <w:sz w:val="24"/>
          <w:szCs w:val="24"/>
          <w:u w:val="single"/>
        </w:rPr>
      </w:pP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zh-CN"/>
        </w:rPr>
        <w:t>采购人”系指</w:t>
      </w:r>
      <w:r>
        <w:rPr>
          <w:rFonts w:hint="eastAsia" w:cs="宋体" w:asciiTheme="minorEastAsia" w:hAnsiTheme="minorEastAsia" w:eastAsiaTheme="minorEastAsia"/>
          <w:sz w:val="24"/>
          <w:szCs w:val="24"/>
          <w:u w:val="single"/>
          <w:lang w:eastAsia="zh-CN"/>
        </w:rPr>
        <w:t>绍兴市上虞</w:t>
      </w:r>
      <w:r>
        <w:rPr>
          <w:rFonts w:hint="eastAsia" w:cs="宋体" w:asciiTheme="minorEastAsia" w:hAnsiTheme="minorEastAsia" w:eastAsiaTheme="minorEastAsia"/>
          <w:sz w:val="24"/>
          <w:szCs w:val="24"/>
          <w:u w:val="single"/>
          <w:lang w:val="en-US" w:eastAsia="zh-CN"/>
        </w:rPr>
        <w:t>城市建设集团</w:t>
      </w:r>
      <w:r>
        <w:rPr>
          <w:rFonts w:hint="eastAsia" w:cs="宋体" w:asciiTheme="minorEastAsia" w:hAnsiTheme="minorEastAsia" w:eastAsiaTheme="minorEastAsia"/>
          <w:sz w:val="24"/>
          <w:szCs w:val="24"/>
          <w:u w:val="single"/>
          <w:lang w:eastAsia="zh-CN"/>
        </w:rPr>
        <w:t>有限公司</w:t>
      </w:r>
      <w:r>
        <w:rPr>
          <w:rFonts w:hint="eastAsia" w:cs="宋体" w:asciiTheme="minorEastAsia" w:hAnsiTheme="minorEastAsia" w:eastAsiaTheme="minorEastAsia"/>
          <w:sz w:val="24"/>
          <w:szCs w:val="24"/>
        </w:rPr>
        <w:t>。采购人委托</w:t>
      </w:r>
      <w:r>
        <w:rPr>
          <w:rFonts w:hint="eastAsia" w:cs="宋体" w:asciiTheme="minorEastAsia" w:hAnsiTheme="minorEastAsia" w:eastAsiaTheme="minorEastAsia"/>
          <w:sz w:val="24"/>
          <w:szCs w:val="24"/>
          <w:u w:val="single"/>
        </w:rPr>
        <w:t>绍兴明晨建设项目管理有限公司</w:t>
      </w:r>
      <w:r>
        <w:rPr>
          <w:rFonts w:hint="eastAsia" w:cs="宋体" w:asciiTheme="minorEastAsia" w:hAnsiTheme="minorEastAsia" w:eastAsiaTheme="minorEastAsia"/>
          <w:sz w:val="24"/>
          <w:szCs w:val="24"/>
        </w:rPr>
        <w:t>为本项目采购代理机构。</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2.2</w:t>
      </w:r>
      <w:r>
        <w:rPr>
          <w:rFonts w:hint="eastAsia" w:cs="宋体" w:asciiTheme="minorEastAsia" w:hAnsiTheme="minorEastAsia" w:eastAsiaTheme="minorEastAsia"/>
          <w:sz w:val="24"/>
          <w:szCs w:val="24"/>
        </w:rPr>
        <w:t>“询价供应商”系指响应本次采购，参加本次询价的供应商。</w:t>
      </w:r>
    </w:p>
    <w:p>
      <w:pPr>
        <w:spacing w:line="336" w:lineRule="auto"/>
        <w:ind w:firstLine="480" w:firstLineChars="200"/>
        <w:rPr>
          <w:rFonts w:asciiTheme="minorEastAsia" w:hAnsiTheme="minorEastAsia" w:eastAsiaTheme="minorEastAsia"/>
          <w:sz w:val="24"/>
          <w:szCs w:val="24"/>
          <w:lang w:val="zh-CN"/>
        </w:rPr>
      </w:pPr>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lang w:val="zh-CN"/>
        </w:rPr>
        <w:t>“服务”系指</w:t>
      </w:r>
      <w:r>
        <w:rPr>
          <w:rFonts w:hint="eastAsia" w:cs="宋体" w:asciiTheme="minorEastAsia" w:hAnsiTheme="minorEastAsia" w:eastAsiaTheme="minorEastAsia"/>
          <w:sz w:val="24"/>
          <w:szCs w:val="24"/>
        </w:rPr>
        <w:t>询价供应商按合同规定，须承担的服务的义务</w:t>
      </w:r>
      <w:r>
        <w:rPr>
          <w:rFonts w:hint="eastAsia" w:cs="宋体" w:asciiTheme="minorEastAsia" w:hAnsiTheme="minorEastAsia" w:eastAsiaTheme="minorEastAsia"/>
          <w:sz w:val="24"/>
          <w:szCs w:val="24"/>
          <w:lang w:val="zh-CN"/>
        </w:rPr>
        <w:t>。</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采购项目概况</w:t>
      </w:r>
      <w:r>
        <w:rPr>
          <w:rFonts w:asciiTheme="minorEastAsia" w:hAnsiTheme="minorEastAsia" w:eastAsiaTheme="minorEastAsia"/>
          <w:b/>
          <w:bCs/>
          <w:sz w:val="24"/>
          <w:szCs w:val="24"/>
        </w:rPr>
        <w:tab/>
      </w:r>
      <w:r>
        <w:rPr>
          <w:rFonts w:asciiTheme="minorEastAsia" w:hAnsiTheme="minorEastAsia" w:eastAsiaTheme="minorEastAsia"/>
          <w:b/>
          <w:bCs/>
          <w:sz w:val="24"/>
          <w:szCs w:val="24"/>
        </w:rPr>
        <w:tab/>
      </w:r>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详见询价公告相关内容，主要要求参见本文件第</w:t>
      </w:r>
      <w:r>
        <w:rPr>
          <w:rFonts w:hint="eastAsia" w:cs="宋体" w:asciiTheme="minorEastAsia" w:hAnsiTheme="minorEastAsia" w:eastAsiaTheme="minorEastAsia"/>
          <w:sz w:val="24"/>
          <w:szCs w:val="24"/>
          <w:u w:val="single"/>
        </w:rPr>
        <w:t>三</w:t>
      </w:r>
      <w:r>
        <w:rPr>
          <w:rFonts w:hint="eastAsia" w:cs="宋体" w:asciiTheme="minorEastAsia" w:hAnsiTheme="minorEastAsia" w:eastAsiaTheme="minorEastAsia"/>
          <w:sz w:val="24"/>
          <w:szCs w:val="24"/>
        </w:rPr>
        <w:t>部分。</w:t>
      </w:r>
    </w:p>
    <w:p>
      <w:pPr>
        <w:adjustRightInd w:val="0"/>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rPr>
        <w:t>合格的询价供应商</w:t>
      </w:r>
    </w:p>
    <w:p>
      <w:pPr>
        <w:spacing w:line="336" w:lineRule="auto"/>
        <w:ind w:firstLine="480" w:firstLineChars="200"/>
        <w:rPr>
          <w:rFonts w:asciiTheme="minorEastAsia" w:hAnsiTheme="minorEastAsia" w:eastAsiaTheme="minorEastAsia"/>
          <w:sz w:val="24"/>
          <w:szCs w:val="24"/>
        </w:rPr>
      </w:pPr>
      <w:bookmarkStart w:id="12" w:name="_Toc204683265"/>
      <w:bookmarkStart w:id="13" w:name="_Toc197053926"/>
      <w:bookmarkStart w:id="14" w:name="_Toc208287611"/>
      <w:bookmarkStart w:id="15" w:name="_Toc209435242"/>
      <w:bookmarkStart w:id="16" w:name="_Toc209520993"/>
      <w:bookmarkStart w:id="17" w:name="_Toc197156227"/>
      <w:bookmarkStart w:id="18" w:name="_Toc197163261"/>
      <w:bookmarkStart w:id="19" w:name="_Toc209504018"/>
      <w:bookmarkStart w:id="20" w:name="_Toc207946571"/>
      <w:bookmarkStart w:id="21" w:name="_Toc211412066"/>
      <w:bookmarkStart w:id="22" w:name="_Toc193523219"/>
      <w:bookmarkStart w:id="23" w:name="_Toc193538208"/>
      <w:bookmarkStart w:id="24" w:name="_Toc197657950"/>
      <w:bookmarkStart w:id="25" w:name="_Toc208913145"/>
      <w:r>
        <w:rPr>
          <w:rFonts w:hint="eastAsia" w:cs="宋体" w:asciiTheme="minorEastAsia" w:hAnsiTheme="minorEastAsia" w:eastAsiaTheme="minorEastAsia"/>
          <w:sz w:val="24"/>
          <w:szCs w:val="24"/>
        </w:rPr>
        <w:t>详见询价采购公告询价供应商的资格要求规定。</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5.</w:t>
      </w:r>
      <w:r>
        <w:rPr>
          <w:rFonts w:hint="eastAsia" w:cs="宋体" w:asciiTheme="minorEastAsia" w:hAnsiTheme="minorEastAsia" w:eastAsiaTheme="minorEastAsia"/>
          <w:b/>
          <w:bCs/>
          <w:sz w:val="24"/>
          <w:szCs w:val="24"/>
        </w:rPr>
        <w:t>询价费用</w:t>
      </w:r>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询价供应商应承担其参加询价所涉及的一切费用，不管结果如何，采购人对上述费用不负任何责任。</w:t>
      </w:r>
    </w:p>
    <w:p>
      <w:pPr>
        <w:pStyle w:val="2"/>
        <w:numPr>
          <w:ilvl w:val="0"/>
          <w:numId w:val="7"/>
        </w:numPr>
        <w:jc w:val="center"/>
        <w:rPr>
          <w:rFonts w:cs="Times New Roman" w:asciiTheme="minorEastAsia" w:hAnsiTheme="minorEastAsia" w:eastAsiaTheme="minorEastAsia"/>
        </w:rPr>
      </w:pPr>
      <w:bookmarkStart w:id="26" w:name="_Toc32689"/>
      <w:bookmarkStart w:id="27" w:name="_Toc25923"/>
      <w:bookmarkStart w:id="28" w:name="_Toc110244148"/>
      <w:bookmarkStart w:id="29" w:name="_Toc11814"/>
      <w:bookmarkStart w:id="30" w:name="_Toc416992151"/>
      <w:r>
        <w:rPr>
          <w:rFonts w:hint="eastAsia" w:asciiTheme="minorEastAsia" w:hAnsiTheme="minorEastAsia" w:eastAsiaTheme="minorEastAsia"/>
        </w:rPr>
        <w:t>询价文件</w:t>
      </w:r>
      <w:bookmarkEnd w:id="26"/>
      <w:bookmarkEnd w:id="27"/>
      <w:bookmarkEnd w:id="28"/>
      <w:bookmarkEnd w:id="29"/>
      <w:bookmarkEnd w:id="30"/>
    </w:p>
    <w:p>
      <w:pPr>
        <w:adjustRightInd w:val="0"/>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6.</w:t>
      </w:r>
      <w:r>
        <w:rPr>
          <w:rFonts w:hint="eastAsia" w:cs="宋体" w:asciiTheme="minorEastAsia" w:hAnsiTheme="minorEastAsia" w:eastAsiaTheme="minorEastAsia"/>
          <w:b/>
          <w:bCs/>
          <w:sz w:val="24"/>
          <w:szCs w:val="24"/>
        </w:rPr>
        <w:t>询价文件的组成</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6.1</w:t>
      </w:r>
      <w:r>
        <w:rPr>
          <w:rFonts w:hint="eastAsia" w:cs="宋体" w:asciiTheme="minorEastAsia" w:hAnsiTheme="minorEastAsia" w:eastAsiaTheme="minorEastAsia"/>
          <w:sz w:val="24"/>
          <w:szCs w:val="24"/>
        </w:rPr>
        <w:t>本询价文件包括目录所示内容及所有按本须知发出的补充资料（如果有）。</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6.2</w:t>
      </w:r>
      <w:r>
        <w:rPr>
          <w:rFonts w:hint="eastAsia" w:cs="宋体" w:asciiTheme="minorEastAsia" w:hAnsiTheme="minorEastAsia" w:eastAsiaTheme="minorEastAsia"/>
          <w:sz w:val="24"/>
          <w:szCs w:val="24"/>
        </w:rPr>
        <w:t>除上述所列内容外，采购人及采购代理机构的任何工作人员对询价供应商所作的任何口头解释、介绍、答复，只能供询价供应商参考，对采购人和询价供应商无任何约束力。</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6.3</w:t>
      </w:r>
      <w:r>
        <w:rPr>
          <w:rFonts w:hint="eastAsia" w:cs="宋体" w:asciiTheme="minorEastAsia" w:hAnsiTheme="minorEastAsia" w:eastAsiaTheme="minorEastAsia"/>
          <w:sz w:val="24"/>
          <w:szCs w:val="24"/>
        </w:rPr>
        <w:t>询价供应商应仔细阅读询价文件的所有内容，按照文件要求提交响应文件，并保证所提交的全部资料的真实性。不按询价文件的要求提供的响应文件和资料，可能导致询价被拒绝。</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6.4</w:t>
      </w:r>
      <w:r>
        <w:rPr>
          <w:rFonts w:hint="eastAsia" w:cs="宋体" w:asciiTheme="minorEastAsia" w:hAnsiTheme="minorEastAsia" w:eastAsiaTheme="minorEastAsia"/>
          <w:sz w:val="24"/>
          <w:szCs w:val="24"/>
        </w:rPr>
        <w:t>询价文件是成交后签订合同的依据，对双方均具有约束力，凡不遵守询价文件规定或对询价文件的实质性内容不响应的报价，将可能被拒绝或以无效标处理。本询价文件由采购人或采购代理机构进行解释。</w:t>
      </w:r>
    </w:p>
    <w:p>
      <w:pPr>
        <w:adjustRightInd w:val="0"/>
        <w:spacing w:line="336" w:lineRule="auto"/>
        <w:ind w:firstLine="472" w:firstLineChars="196"/>
        <w:rPr>
          <w:rFonts w:asciiTheme="minorEastAsia" w:hAnsiTheme="minorEastAsia" w:eastAsiaTheme="minorEastAsia"/>
          <w:b/>
          <w:bCs/>
          <w:sz w:val="24"/>
          <w:szCs w:val="24"/>
        </w:rPr>
      </w:pPr>
      <w:r>
        <w:rPr>
          <w:rFonts w:cs="宋体" w:asciiTheme="minorEastAsia" w:hAnsiTheme="minorEastAsia" w:eastAsiaTheme="minorEastAsia"/>
          <w:b/>
          <w:bCs/>
          <w:sz w:val="24"/>
          <w:szCs w:val="24"/>
        </w:rPr>
        <w:t>7.</w:t>
      </w:r>
      <w:r>
        <w:rPr>
          <w:rFonts w:hint="eastAsia" w:cs="宋体" w:asciiTheme="minorEastAsia" w:hAnsiTheme="minorEastAsia" w:eastAsiaTheme="minorEastAsia"/>
          <w:b/>
          <w:bCs/>
          <w:sz w:val="24"/>
          <w:szCs w:val="24"/>
        </w:rPr>
        <w:t>询价文件的澄清与修改</w:t>
      </w:r>
    </w:p>
    <w:p>
      <w:pPr>
        <w:pStyle w:val="12"/>
        <w:spacing w:line="336" w:lineRule="auto"/>
        <w:ind w:firstLine="480" w:firstLineChars="200"/>
        <w:rPr>
          <w:rFonts w:cs="Times New Roman" w:asciiTheme="minorEastAsia" w:hAnsiTheme="minorEastAsia" w:eastAsiaTheme="minorEastAsia"/>
        </w:rPr>
      </w:pPr>
      <w:r>
        <w:rPr>
          <w:rFonts w:asciiTheme="minorEastAsia" w:hAnsiTheme="minorEastAsia" w:eastAsiaTheme="minorEastAsia"/>
        </w:rPr>
        <w:t>7.1</w:t>
      </w:r>
      <w:r>
        <w:rPr>
          <w:rFonts w:hint="eastAsia" w:asciiTheme="minorEastAsia" w:hAnsiTheme="minorEastAsia" w:eastAsiaTheme="minorEastAsia"/>
        </w:rPr>
        <w:t>询价供应商在收到询价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2"/>
        <w:spacing w:line="336" w:lineRule="auto"/>
        <w:ind w:right="-240" w:rightChars="-120" w:firstLine="480" w:firstLineChars="200"/>
        <w:rPr>
          <w:rFonts w:cs="Times New Roman" w:asciiTheme="minorEastAsia" w:hAnsiTheme="minorEastAsia" w:eastAsiaTheme="minorEastAsia"/>
        </w:rPr>
      </w:pPr>
      <w:r>
        <w:rPr>
          <w:rFonts w:asciiTheme="minorEastAsia" w:hAnsiTheme="minorEastAsia" w:eastAsiaTheme="minorEastAsia"/>
        </w:rPr>
        <w:t>7.2</w:t>
      </w:r>
      <w:r>
        <w:rPr>
          <w:rFonts w:hint="eastAsia" w:asciiTheme="minorEastAsia" w:hAnsiTheme="minorEastAsia" w:eastAsiaTheme="minorEastAsia"/>
        </w:rPr>
        <w:t>询价供应商要求解释或澄清的问题应以书面形式，并加盖公章、写明日期。</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7.3</w:t>
      </w:r>
      <w:r>
        <w:rPr>
          <w:rFonts w:hint="eastAsia" w:cs="宋体" w:asciiTheme="minorEastAsia" w:hAnsiTheme="minorEastAsia" w:eastAsiaTheme="minorEastAsia"/>
          <w:sz w:val="24"/>
          <w:szCs w:val="24"/>
        </w:rPr>
        <w:t>提交响应文件截止之日前，采购人、采购代理机构可以对已发出的询价文件进行必要的澄清或者修改，澄清或者修改的内容作为询价文件的组成部分。</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7.4</w:t>
      </w:r>
      <w:r>
        <w:rPr>
          <w:rFonts w:hint="eastAsia" w:cs="宋体" w:asciiTheme="minorEastAsia" w:hAnsiTheme="minorEastAsia" w:eastAsiaTheme="minorEastAsia"/>
          <w:sz w:val="24"/>
          <w:szCs w:val="24"/>
        </w:rPr>
        <w:t>询价文件的澄清修改文件及更正补充公告，请自行登录浙江政府采购网或绍兴市上虞区公共资源交易中心网站，在采购公告页面中下载。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7.5</w:t>
      </w:r>
      <w:r>
        <w:rPr>
          <w:rFonts w:hint="eastAsia" w:cs="宋体" w:asciiTheme="minorEastAsia" w:hAnsiTheme="minorEastAsia" w:eastAsiaTheme="minorEastAsia"/>
          <w:sz w:val="24"/>
          <w:szCs w:val="24"/>
        </w:rPr>
        <w:t>澄清或者修改的内容可能影响响应文件编制的，采购人、采购代理机构将在提交响应文件截止时间至少3日前，以公告形式通知所有获取询价文件的供应商；不足3日的，采购人、采购代理机构可能会顺延提交首次响应文件截止时间。澄清或者修改的内容未对原询价文件作出重大修改或不会影响响应文件编制的，递交首次响应文件截止时间不变。</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7.6</w:t>
      </w:r>
      <w:r>
        <w:rPr>
          <w:rFonts w:hint="eastAsia" w:cs="宋体" w:asciiTheme="minorEastAsia" w:hAnsiTheme="minorEastAsia" w:eastAsiaTheme="minorEastAsia"/>
          <w:sz w:val="24"/>
          <w:szCs w:val="24"/>
        </w:rPr>
        <w:t>询价文件澄清、答复、修改、补充的内容为询价文件的组成部分。</w:t>
      </w:r>
    </w:p>
    <w:p>
      <w:pPr>
        <w:pStyle w:val="3"/>
        <w:spacing w:line="336" w:lineRule="auto"/>
        <w:rPr>
          <w:rFonts w:asciiTheme="minorEastAsia" w:hAnsiTheme="minorEastAsia" w:eastAsiaTheme="minorEastAsia"/>
          <w:sz w:val="24"/>
          <w:szCs w:val="24"/>
        </w:rPr>
      </w:pPr>
      <w:r>
        <w:rPr>
          <w:rFonts w:cs="宋体" w:asciiTheme="minorEastAsia" w:hAnsiTheme="minorEastAsia" w:eastAsiaTheme="minorEastAsia"/>
          <w:sz w:val="24"/>
          <w:szCs w:val="24"/>
        </w:rPr>
        <w:t>7.7</w:t>
      </w:r>
      <w:r>
        <w:rPr>
          <w:rFonts w:hint="eastAsia" w:cs="宋体" w:asciiTheme="minorEastAsia" w:hAnsiTheme="minorEastAsia" w:eastAsiaTheme="minorEastAsia"/>
          <w:sz w:val="24"/>
          <w:szCs w:val="24"/>
        </w:rPr>
        <w:t>询价文件发售截止日后，经采购人同意后购买询价文件的询价供应商不得对询价文件和补充文件提出答疑或质疑。</w:t>
      </w:r>
    </w:p>
    <w:p>
      <w:pPr>
        <w:pStyle w:val="2"/>
        <w:numPr>
          <w:ilvl w:val="0"/>
          <w:numId w:val="7"/>
        </w:numPr>
        <w:jc w:val="center"/>
        <w:rPr>
          <w:rFonts w:cs="Times New Roman" w:asciiTheme="minorEastAsia" w:hAnsiTheme="minorEastAsia" w:eastAsiaTheme="minorEastAsia"/>
        </w:rPr>
      </w:pPr>
      <w:bookmarkStart w:id="31" w:name="_Toc10810"/>
      <w:bookmarkStart w:id="32" w:name="_Toc8860"/>
      <w:bookmarkStart w:id="33" w:name="_Toc6273"/>
      <w:bookmarkStart w:id="34" w:name="_Toc23975"/>
      <w:bookmarkStart w:id="35" w:name="_Toc391298957"/>
      <w:bookmarkStart w:id="36" w:name="_Toc26027"/>
      <w:bookmarkStart w:id="37" w:name="_Toc11669"/>
      <w:bookmarkStart w:id="38" w:name="_Toc14650"/>
      <w:bookmarkStart w:id="39" w:name="_Toc7126"/>
      <w:bookmarkStart w:id="40" w:name="_Toc11515"/>
      <w:bookmarkStart w:id="41" w:name="_Toc24622"/>
      <w:bookmarkStart w:id="42" w:name="_Toc23135"/>
      <w:bookmarkStart w:id="43" w:name="_Toc31748"/>
      <w:bookmarkStart w:id="44" w:name="_Toc6457"/>
      <w:bookmarkStart w:id="45" w:name="_Toc18702"/>
      <w:bookmarkStart w:id="46" w:name="_Toc10669"/>
      <w:bookmarkStart w:id="47" w:name="_Toc1202"/>
      <w:bookmarkStart w:id="48" w:name="_Toc26603"/>
      <w:bookmarkStart w:id="49" w:name="_Toc1729"/>
      <w:bookmarkStart w:id="50" w:name="_Toc1828"/>
      <w:bookmarkStart w:id="51" w:name="_Toc11692"/>
      <w:bookmarkStart w:id="52" w:name="_Toc6079"/>
      <w:bookmarkStart w:id="53" w:name="_Toc11093"/>
      <w:r>
        <w:rPr>
          <w:rFonts w:asciiTheme="minorEastAsia" w:hAnsiTheme="minorEastAsia" w:eastAsiaTheme="minorEastAsia"/>
        </w:rPr>
        <w:tab/>
      </w:r>
      <w:bookmarkStart w:id="54" w:name="_Toc110244149"/>
      <w:r>
        <w:rPr>
          <w:rFonts w:hint="eastAsia" w:asciiTheme="minorEastAsia" w:hAnsiTheme="minorEastAsia" w:eastAsiaTheme="minorEastAsia"/>
        </w:rPr>
        <w:t>询价响应文件的编写</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要求</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8.1</w:t>
      </w:r>
      <w:r>
        <w:rPr>
          <w:rFonts w:hint="eastAsia" w:cs="宋体" w:asciiTheme="minorEastAsia" w:hAnsiTheme="minorEastAsia" w:eastAsiaTheme="minorEastAsia"/>
          <w:sz w:val="24"/>
          <w:szCs w:val="24"/>
        </w:rPr>
        <w:t>供应商应仔细阅读询价文件的所有内容，按照询价文件的要求提交询价响应文件。询价响应文件应对询价文件的要求做出实质性响应，并保证所提供的全部资料的真实性，否则视其为虚假响应，其响应将被否决。</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8.2</w:t>
      </w:r>
      <w:r>
        <w:rPr>
          <w:rFonts w:hint="eastAsia" w:cs="宋体" w:asciiTheme="minorEastAsia" w:hAnsiTheme="minorEastAsia" w:eastAsiaTheme="minorEastAsia"/>
          <w:sz w:val="24"/>
          <w:szCs w:val="24"/>
        </w:rPr>
        <w:t>报价</w:t>
      </w:r>
    </w:p>
    <w:p>
      <w:pPr>
        <w:spacing w:line="336" w:lineRule="auto"/>
        <w:ind w:firstLine="480" w:firstLineChars="200"/>
        <w:rPr>
          <w:rFonts w:asciiTheme="minorEastAsia" w:hAnsiTheme="minorEastAsia" w:eastAsiaTheme="minorEastAsia"/>
          <w:b/>
          <w:bCs/>
          <w:sz w:val="24"/>
          <w:szCs w:val="24"/>
          <w:shd w:val="clear" w:color="FFFFFF" w:fill="D9D9D9"/>
        </w:rPr>
      </w:pPr>
      <w:r>
        <w:rPr>
          <w:rFonts w:cs="宋体" w:asciiTheme="minorEastAsia" w:hAnsiTheme="minorEastAsia" w:eastAsiaTheme="minorEastAsia"/>
          <w:sz w:val="24"/>
          <w:szCs w:val="24"/>
        </w:rPr>
        <w:t>8.2.1</w:t>
      </w:r>
      <w:r>
        <w:rPr>
          <w:rFonts w:hint="eastAsia" w:cs="宋体" w:asciiTheme="minorEastAsia" w:hAnsiTheme="minorEastAsia" w:eastAsiaTheme="minorEastAsia"/>
          <w:sz w:val="24"/>
          <w:szCs w:val="24"/>
        </w:rPr>
        <w:t>本次报价币种为人民币。</w:t>
      </w:r>
    </w:p>
    <w:p>
      <w:pPr>
        <w:pStyle w:val="52"/>
        <w:tabs>
          <w:tab w:val="left" w:pos="0"/>
        </w:tabs>
        <w:spacing w:before="0" w:line="336" w:lineRule="auto"/>
        <w:ind w:firstLine="480"/>
        <w:rPr>
          <w:rFonts w:asciiTheme="minorEastAsia" w:hAnsiTheme="minorEastAsia" w:eastAsiaTheme="minorEastAsia"/>
          <w:u w:val="single"/>
        </w:rPr>
      </w:pPr>
      <w:r>
        <w:rPr>
          <w:rFonts w:cs="宋体" w:asciiTheme="minorEastAsia" w:hAnsiTheme="minorEastAsia" w:eastAsiaTheme="minorEastAsia"/>
        </w:rPr>
        <w:t>8.2.2</w:t>
      </w:r>
      <w:r>
        <w:rPr>
          <w:rFonts w:hint="eastAsia" w:cs="宋体" w:asciiTheme="minorEastAsia" w:hAnsiTheme="minorEastAsia" w:eastAsiaTheme="minorEastAsia"/>
        </w:rPr>
        <w:t>本次报价应包含</w:t>
      </w:r>
      <w:r>
        <w:rPr>
          <w:rFonts w:hint="eastAsia" w:ascii="宋体" w:hAnsi="宋体" w:cs="宋体"/>
          <w:bCs/>
        </w:rPr>
        <w:t>设备的</w:t>
      </w:r>
      <w:r>
        <w:rPr>
          <w:rFonts w:ascii="宋体" w:hAnsi="宋体"/>
          <w:bCs/>
        </w:rPr>
        <w:t>设计、制造、供货、发货、</w:t>
      </w:r>
      <w:r>
        <w:rPr>
          <w:rFonts w:hint="eastAsia" w:ascii="宋体" w:hAnsi="宋体" w:cs="宋体"/>
          <w:bCs/>
        </w:rPr>
        <w:t>配件费、材料费、安装费、调试费、</w:t>
      </w:r>
      <w:r>
        <w:rPr>
          <w:rFonts w:hint="eastAsia" w:ascii="宋体" w:hAnsi="宋体"/>
          <w:bCs/>
        </w:rPr>
        <w:t>指导安装、</w:t>
      </w:r>
      <w:r>
        <w:rPr>
          <w:rFonts w:ascii="宋体" w:hAnsi="宋体"/>
          <w:bCs/>
        </w:rPr>
        <w:t>保险</w:t>
      </w:r>
      <w:r>
        <w:rPr>
          <w:rFonts w:hint="eastAsia" w:ascii="宋体" w:hAnsi="宋体"/>
          <w:bCs/>
        </w:rPr>
        <w:t>、</w:t>
      </w:r>
      <w:r>
        <w:rPr>
          <w:rFonts w:hint="eastAsia" w:ascii="宋体" w:hAnsi="宋体" w:cs="宋体"/>
          <w:bCs/>
        </w:rPr>
        <w:t>人工费、管理费、税费、运费、规费、现场勘查费和交付使用、设备在本文规定的质保期内的维修保养，以及为达到与</w:t>
      </w:r>
      <w:r>
        <w:rPr>
          <w:rFonts w:hint="eastAsia" w:ascii="宋体" w:hAnsi="宋体" w:eastAsia="宋体" w:cs="宋体"/>
          <w:bCs/>
        </w:rPr>
        <w:t>原有设备平台无</w:t>
      </w:r>
      <w:r>
        <w:rPr>
          <w:rFonts w:hint="eastAsia" w:ascii="宋体" w:hAnsi="宋体" w:cs="宋体"/>
          <w:bCs/>
        </w:rPr>
        <w:t>缝对接使设备能安全、满意的运行设施等，并应保证设备在各方面均能达到正常运行要求的费用，以及招标代理费和其它一切不可预见和实际所需的一切其他费用等</w:t>
      </w:r>
      <w:r>
        <w:rPr>
          <w:rFonts w:hint="eastAsia" w:cs="宋体" w:asciiTheme="minorEastAsia" w:hAnsiTheme="minorEastAsia" w:eastAsiaTheme="minorEastAsia"/>
        </w:rPr>
        <w:t>。投标报价为供应商所能承受的最低、最终报价，供应商不得再要求追加任何费用。</w:t>
      </w:r>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Theme="minorEastAsia" w:hAnsiTheme="minorEastAsia" w:eastAsiaTheme="minorEastAsia"/>
        </w:rPr>
      </w:pPr>
      <w:r>
        <w:rPr>
          <w:rFonts w:cs="宋体" w:asciiTheme="minorEastAsia" w:hAnsiTheme="minorEastAsia" w:eastAsiaTheme="minorEastAsia"/>
          <w:sz w:val="24"/>
          <w:szCs w:val="24"/>
        </w:rPr>
        <w:t>8.2.3</w:t>
      </w:r>
      <w:r>
        <w:rPr>
          <w:rFonts w:hint="eastAsia" w:cs="宋体" w:asciiTheme="minorEastAsia" w:hAnsiTheme="minorEastAsia" w:eastAsiaTheme="minorEastAsia"/>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5"/>
        <w:spacing w:line="336" w:lineRule="auto"/>
        <w:ind w:firstLine="482" w:firstLineChars="200"/>
        <w:rPr>
          <w:rFonts w:cs="Times New Roman" w:asciiTheme="minorEastAsia" w:hAnsiTheme="minorEastAsia" w:eastAsiaTheme="minorEastAsia"/>
          <w:b/>
          <w:bCs/>
          <w:sz w:val="24"/>
          <w:szCs w:val="24"/>
          <w:u w:val="single"/>
        </w:rPr>
      </w:pPr>
      <w:r>
        <w:rPr>
          <w:rFonts w:asciiTheme="minorEastAsia" w:hAnsiTheme="minorEastAsia" w:eastAsiaTheme="minorEastAsia"/>
          <w:b/>
          <w:bCs/>
          <w:sz w:val="24"/>
          <w:szCs w:val="24"/>
        </w:rPr>
        <w:t>9.</w:t>
      </w:r>
      <w:r>
        <w:rPr>
          <w:rFonts w:hint="eastAsia" w:asciiTheme="minorEastAsia" w:hAnsiTheme="minorEastAsia" w:eastAsiaTheme="minorEastAsia"/>
          <w:b/>
          <w:bCs/>
          <w:sz w:val="24"/>
          <w:szCs w:val="24"/>
        </w:rPr>
        <w:t>响应文件的组成</w:t>
      </w:r>
      <w:r>
        <w:rPr>
          <w:rFonts w:hint="eastAsia" w:asciiTheme="minorEastAsia" w:hAnsiTheme="minorEastAsia" w:eastAsiaTheme="minorEastAsia"/>
          <w:b/>
          <w:bCs/>
          <w:sz w:val="24"/>
          <w:szCs w:val="24"/>
          <w:u w:val="single"/>
        </w:rPr>
        <w:t>（供应商应根据采购文件的要求提供相应的内容且设置关联定位，供应商可查看《供应商</w:t>
      </w:r>
      <w:r>
        <w:rPr>
          <w:rFonts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政府采购项目电子交易操作指南》进行操作：</w:t>
      </w:r>
      <w:r>
        <w:rPr>
          <w:rFonts w:asciiTheme="minorEastAsia" w:hAnsiTheme="minorEastAsia" w:eastAsiaTheme="minorEastAsia"/>
          <w:b/>
          <w:bCs/>
          <w:sz w:val="24"/>
          <w:szCs w:val="24"/>
          <w:u w:val="single"/>
        </w:rPr>
        <w:t>https://help.zcygov.cn/web/site_2/2018/12-28/2573.html</w:t>
      </w:r>
      <w:r>
        <w:rPr>
          <w:rFonts w:hint="eastAsia" w:asciiTheme="minorEastAsia" w:hAnsiTheme="minorEastAsia" w:eastAsiaTheme="minorEastAsia"/>
          <w:b/>
          <w:bCs/>
          <w:sz w:val="24"/>
          <w:szCs w:val="24"/>
          <w:u w:val="single"/>
        </w:rPr>
        <w:t>）</w:t>
      </w:r>
    </w:p>
    <w:p>
      <w:pPr>
        <w:pStyle w:val="52"/>
        <w:tabs>
          <w:tab w:val="left" w:pos="0"/>
        </w:tabs>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响应文件应当包括以下主要内容：资格文件、商务技术文件、报价文件。</w:t>
      </w:r>
    </w:p>
    <w:p>
      <w:pPr>
        <w:pStyle w:val="52"/>
        <w:numPr>
          <w:ilvl w:val="0"/>
          <w:numId w:val="8"/>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资格文件包括以下内容：</w:t>
      </w:r>
    </w:p>
    <w:p>
      <w:pPr>
        <w:pStyle w:val="52"/>
        <w:numPr>
          <w:ilvl w:val="0"/>
          <w:numId w:val="9"/>
        </w:numPr>
        <w:spacing w:before="0"/>
        <w:ind w:firstLine="480"/>
        <w:rPr>
          <w:rFonts w:ascii="宋体" w:hAnsi="宋体" w:cs="宋体"/>
        </w:rPr>
      </w:pPr>
      <w:r>
        <w:rPr>
          <w:rFonts w:hint="eastAsia" w:ascii="宋体" w:hAnsi="宋体" w:cs="宋体"/>
        </w:rPr>
        <w:t>法定代表人授权书（格式见附件，</w:t>
      </w:r>
      <w:r>
        <w:rPr>
          <w:rFonts w:hint="eastAsia" w:ascii="宋体" w:hAnsi="宋体" w:cs="宋体"/>
          <w:b/>
          <w:bCs/>
        </w:rPr>
        <w:t>若联合体投标须提供联合体牵头人法定代表人授权书</w:t>
      </w:r>
      <w:r>
        <w:rPr>
          <w:rFonts w:hint="eastAsia" w:ascii="宋体" w:hAnsi="宋体" w:cs="宋体"/>
        </w:rPr>
        <w:t>）；如法定代表人直接参加询价并对相应文件签字的（签字是指线下签字扫描后上传或者线上进行电子签章），只需提供其身份证复印件，否则则应提供授权代表身份证复印件；</w:t>
      </w:r>
    </w:p>
    <w:p>
      <w:pPr>
        <w:pStyle w:val="52"/>
        <w:numPr>
          <w:ilvl w:val="0"/>
          <w:numId w:val="9"/>
        </w:numPr>
        <w:spacing w:before="0"/>
        <w:ind w:firstLine="480"/>
        <w:rPr>
          <w:rFonts w:ascii="宋体" w:hAnsi="宋体" w:cs="宋体"/>
        </w:rPr>
      </w:pPr>
      <w:r>
        <w:rPr>
          <w:rFonts w:hint="eastAsia" w:ascii="宋体" w:hAnsi="宋体" w:cs="宋体"/>
        </w:rPr>
        <w:t>营业执照</w:t>
      </w:r>
      <w:r>
        <w:rPr>
          <w:rFonts w:hint="eastAsia" w:ascii="宋体" w:hAnsi="宋体" w:cs="宋体"/>
          <w:b/>
          <w:bCs/>
        </w:rPr>
        <w:t>（若联合体投标须提供联合体牵头人及全体成员的营业执照）</w:t>
      </w:r>
      <w:r>
        <w:rPr>
          <w:rFonts w:hint="eastAsia" w:ascii="宋体" w:hAnsi="宋体" w:cs="宋体"/>
        </w:rPr>
        <w:t>(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2"/>
        <w:spacing w:before="0"/>
        <w:ind w:firstLine="480"/>
        <w:rPr>
          <w:rFonts w:ascii="宋体" w:hAnsi="宋体" w:cs="宋体"/>
        </w:rPr>
      </w:pPr>
      <w:r>
        <w:rPr>
          <w:rFonts w:hint="eastAsia" w:ascii="宋体" w:hAnsi="宋体" w:cs="宋体"/>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询价响应文件中提供相关材料），证明其具备实际承担责任的能力和法定的缔结合同能力，可以独立参加国企采购活动，由单位负责人签署相关文件材料；</w:t>
      </w:r>
    </w:p>
    <w:p>
      <w:pPr>
        <w:pStyle w:val="52"/>
        <w:numPr>
          <w:ilvl w:val="0"/>
          <w:numId w:val="9"/>
        </w:numPr>
        <w:spacing w:before="0"/>
        <w:ind w:firstLine="480"/>
        <w:rPr>
          <w:rFonts w:ascii="宋体" w:hAnsi="宋体" w:cs="宋体"/>
        </w:rPr>
      </w:pPr>
      <w:r>
        <w:rPr>
          <w:rFonts w:hint="eastAsia" w:ascii="宋体" w:hAnsi="宋体" w:cs="宋体"/>
        </w:rPr>
        <w:t>具有履行合同所必需的产品和专业技术能力的承诺函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9"/>
        </w:numPr>
        <w:spacing w:before="0"/>
        <w:ind w:firstLine="480"/>
        <w:rPr>
          <w:rFonts w:ascii="宋体" w:hAnsi="宋体" w:cs="宋体"/>
        </w:rPr>
      </w:pPr>
      <w:r>
        <w:rPr>
          <w:rFonts w:hint="eastAsia" w:ascii="宋体" w:hAnsi="宋体" w:cs="宋体"/>
        </w:rPr>
        <w:t>投标人承诺函（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9"/>
        </w:numPr>
        <w:spacing w:before="0"/>
        <w:ind w:firstLine="480"/>
        <w:rPr>
          <w:rFonts w:ascii="宋体" w:hAnsi="宋体" w:cs="宋体"/>
        </w:rPr>
      </w:pPr>
      <w:r>
        <w:rPr>
          <w:rFonts w:hint="eastAsia" w:ascii="宋体"/>
          <w:color w:val="auto"/>
          <w:highlight w:val="none"/>
        </w:rPr>
        <w:t>联合体协议</w:t>
      </w:r>
      <w:r>
        <w:rPr>
          <w:rFonts w:hint="eastAsia" w:ascii="宋体"/>
          <w:b/>
          <w:bCs/>
          <w:color w:val="auto"/>
          <w:highlight w:val="none"/>
        </w:rPr>
        <w:t>（若联合体投标须提供）</w:t>
      </w:r>
      <w:r>
        <w:rPr>
          <w:rFonts w:hint="eastAsia" w:ascii="宋体"/>
          <w:b/>
          <w:bCs/>
          <w:color w:val="auto"/>
          <w:highlight w:val="none"/>
          <w:lang w:eastAsia="zh-CN"/>
        </w:rPr>
        <w:t>。</w:t>
      </w:r>
    </w:p>
    <w:p>
      <w:pPr>
        <w:pStyle w:val="52"/>
        <w:spacing w:before="0"/>
        <w:ind w:firstLine="482"/>
        <w:rPr>
          <w:rFonts w:ascii="宋体" w:hAnsi="宋体" w:cs="宋体"/>
        </w:rPr>
      </w:pPr>
      <w:r>
        <w:rPr>
          <w:rFonts w:hint="eastAsia" w:ascii="宋体" w:hAnsi="宋体" w:cs="宋体"/>
          <w:b/>
          <w:bCs/>
        </w:rPr>
        <w:t>注：以上证明材料中，若联合体投标且要求提供“联合体牵头人及全体成员”相关资料的，则联合体牵头人及全体成员均须加盖公章（</w:t>
      </w:r>
      <w:r>
        <w:rPr>
          <w:rFonts w:ascii="宋体" w:hAnsi="宋体" w:cs="宋体"/>
          <w:b/>
          <w:bCs/>
        </w:rPr>
        <w:t>除联合体牵头人外其他全体成员</w:t>
      </w:r>
      <w:r>
        <w:rPr>
          <w:rFonts w:hint="eastAsia" w:ascii="宋体" w:hAnsi="宋体" w:cs="宋体"/>
          <w:b/>
          <w:bCs/>
        </w:rPr>
        <w:t>可</w:t>
      </w:r>
      <w:r>
        <w:rPr>
          <w:rFonts w:ascii="宋体" w:hAnsi="宋体" w:cs="宋体"/>
          <w:b/>
          <w:bCs/>
        </w:rPr>
        <w:t>线下</w:t>
      </w:r>
      <w:r>
        <w:rPr>
          <w:rFonts w:hint="eastAsia" w:ascii="宋体" w:hAnsi="宋体" w:cs="宋体"/>
          <w:b/>
          <w:bCs/>
        </w:rPr>
        <w:t>加盖</w:t>
      </w:r>
      <w:r>
        <w:rPr>
          <w:rFonts w:ascii="宋体" w:hAnsi="宋体" w:cs="宋体"/>
          <w:b/>
          <w:bCs/>
        </w:rPr>
        <w:t>公章后上传）</w:t>
      </w:r>
      <w:r>
        <w:rPr>
          <w:rFonts w:hint="eastAsia" w:ascii="宋体" w:hAnsi="宋体" w:cs="宋体"/>
          <w:b/>
          <w:bCs/>
        </w:rPr>
        <w:t>，否则按无效标处理。</w:t>
      </w:r>
    </w:p>
    <w:p>
      <w:pPr>
        <w:pStyle w:val="52"/>
        <w:numPr>
          <w:ilvl w:val="0"/>
          <w:numId w:val="8"/>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商务技术文件，需要供应商提供以下项所列的技术文件：</w:t>
      </w:r>
    </w:p>
    <w:p>
      <w:pPr>
        <w:pStyle w:val="52"/>
        <w:numPr>
          <w:ilvl w:val="0"/>
          <w:numId w:val="10"/>
        </w:numPr>
        <w:spacing w:before="0" w:line="336" w:lineRule="auto"/>
        <w:ind w:firstLine="480"/>
        <w:rPr>
          <w:rFonts w:ascii="宋体" w:hAnsi="宋体" w:cs="宋体"/>
        </w:rPr>
      </w:pPr>
      <w:r>
        <w:rPr>
          <w:rFonts w:hint="eastAsia" w:ascii="宋体" w:hAnsi="宋体" w:cs="宋体"/>
        </w:rPr>
        <w:t>技术响应及建议表（格式见附件）；</w:t>
      </w:r>
    </w:p>
    <w:p>
      <w:pPr>
        <w:pStyle w:val="52"/>
        <w:numPr>
          <w:ilvl w:val="0"/>
          <w:numId w:val="10"/>
        </w:numPr>
        <w:spacing w:before="0" w:line="336" w:lineRule="auto"/>
        <w:ind w:firstLine="480"/>
        <w:rPr>
          <w:rFonts w:ascii="宋体" w:hAnsi="宋体" w:cs="宋体"/>
        </w:rPr>
      </w:pPr>
      <w:r>
        <w:rPr>
          <w:rFonts w:hint="eastAsia" w:ascii="宋体" w:hAnsi="宋体" w:cs="宋体"/>
        </w:rPr>
        <w:t>废标项证明材料（即“★”的证明材料）；</w:t>
      </w:r>
    </w:p>
    <w:p>
      <w:pPr>
        <w:pStyle w:val="52"/>
        <w:numPr>
          <w:ilvl w:val="0"/>
          <w:numId w:val="10"/>
        </w:numPr>
        <w:spacing w:before="0" w:line="336" w:lineRule="auto"/>
        <w:ind w:firstLine="480"/>
        <w:rPr>
          <w:rFonts w:ascii="宋体" w:hAnsi="宋体" w:cs="宋体"/>
        </w:rPr>
      </w:pPr>
      <w:r>
        <w:rPr>
          <w:rFonts w:hint="eastAsia" w:ascii="宋体" w:hAnsi="宋体" w:cs="宋体"/>
        </w:rPr>
        <w:t xml:space="preserve">供应商认为需要的其他文件资料。 </w:t>
      </w:r>
    </w:p>
    <w:p>
      <w:pPr>
        <w:pStyle w:val="52"/>
        <w:tabs>
          <w:tab w:val="left" w:pos="0"/>
        </w:tabs>
        <w:spacing w:before="0"/>
        <w:ind w:firstLine="482"/>
        <w:rPr>
          <w:rFonts w:asciiTheme="minorEastAsia" w:hAnsiTheme="minorEastAsia" w:eastAsiaTheme="minorEastAsia"/>
        </w:rPr>
      </w:pPr>
      <w:r>
        <w:rPr>
          <w:rFonts w:hint="eastAsia" w:ascii="宋体" w:hAnsi="宋体" w:cs="宋体"/>
          <w:b/>
        </w:rPr>
        <w:t>注：以上内容应与评标办法中内容具有一致性。</w:t>
      </w:r>
      <w:r>
        <w:rPr>
          <w:rFonts w:hint="eastAsia" w:ascii="宋体" w:hAnsi="宋体" w:cs="宋体"/>
          <w:b/>
          <w:bCs/>
        </w:rPr>
        <w:t>若联合体投标的，商务技术文件由联合体牵头人在规定位置盖章，投标人全称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pStyle w:val="52"/>
        <w:numPr>
          <w:ilvl w:val="0"/>
          <w:numId w:val="8"/>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报价文件包括以下内容：</w:t>
      </w:r>
    </w:p>
    <w:p>
      <w:pPr>
        <w:pStyle w:val="52"/>
        <w:numPr>
          <w:ilvl w:val="0"/>
          <w:numId w:val="11"/>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报价函（格式见附件）；</w:t>
      </w:r>
    </w:p>
    <w:p>
      <w:pPr>
        <w:pStyle w:val="52"/>
        <w:numPr>
          <w:ilvl w:val="0"/>
          <w:numId w:val="11"/>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报价一览表（格式见附件）；</w:t>
      </w:r>
    </w:p>
    <w:p>
      <w:pPr>
        <w:pStyle w:val="52"/>
        <w:numPr>
          <w:ilvl w:val="0"/>
          <w:numId w:val="11"/>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报价明细表（格式见附件）；</w:t>
      </w:r>
    </w:p>
    <w:p>
      <w:pPr>
        <w:pStyle w:val="52"/>
        <w:spacing w:before="0" w:line="336" w:lineRule="auto"/>
        <w:ind w:firstLine="482"/>
        <w:rPr>
          <w:rFonts w:asciiTheme="minorEastAsia" w:hAnsiTheme="minorEastAsia" w:eastAsiaTheme="minorEastAsia"/>
        </w:rPr>
      </w:pPr>
      <w:r>
        <w:rPr>
          <w:rFonts w:hint="eastAsia" w:ascii="宋体" w:hAnsi="宋体" w:cs="宋体"/>
          <w:b/>
          <w:bCs/>
        </w:rPr>
        <w:t>注：若联合体投标的，报价文件由联合体牵头人在规定位置盖章，投标人全称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pStyle w:val="52"/>
        <w:spacing w:before="0" w:line="336" w:lineRule="auto"/>
        <w:ind w:firstLine="482"/>
        <w:rPr>
          <w:rFonts w:asciiTheme="minorEastAsia" w:hAnsiTheme="minorEastAsia" w:eastAsiaTheme="minorEastAsia"/>
          <w:b/>
          <w:bCs/>
          <w:u w:val="single"/>
        </w:rPr>
      </w:pPr>
      <w:r>
        <w:rPr>
          <w:rFonts w:hint="eastAsia" w:cs="宋体" w:asciiTheme="minorEastAsia" w:hAnsiTheme="minorEastAsia" w:eastAsiaTheme="minorEastAsia"/>
          <w:b/>
          <w:bCs/>
          <w:u w:val="single"/>
        </w:rPr>
        <w:t>注：“资格文件”、“商务技术文件”、“报价文件”须分</w:t>
      </w:r>
      <w:r>
        <w:rPr>
          <w:rFonts w:cs="宋体" w:asciiTheme="minorEastAsia" w:hAnsiTheme="minorEastAsia" w:eastAsiaTheme="minorEastAsia"/>
          <w:b/>
          <w:bCs/>
          <w:u w:val="single"/>
        </w:rPr>
        <w:t>3</w:t>
      </w:r>
      <w:r>
        <w:rPr>
          <w:rFonts w:hint="eastAsia" w:cs="宋体" w:asciiTheme="minorEastAsia" w:hAnsiTheme="minorEastAsia" w:eastAsiaTheme="minorEastAsia"/>
          <w:b/>
          <w:bCs/>
          <w:u w:val="single"/>
        </w:rPr>
        <w:t>个</w:t>
      </w:r>
      <w:r>
        <w:rPr>
          <w:rFonts w:cs="宋体" w:asciiTheme="minorEastAsia" w:hAnsiTheme="minorEastAsia" w:eastAsiaTheme="minorEastAsia"/>
          <w:b/>
          <w:bCs/>
          <w:u w:val="single"/>
        </w:rPr>
        <w:t>PDF</w:t>
      </w:r>
      <w:r>
        <w:rPr>
          <w:rFonts w:hint="eastAsia" w:cs="宋体" w:asciiTheme="minorEastAsia" w:hAnsiTheme="minorEastAsia" w:eastAsiaTheme="minorEastAsia"/>
          <w:b/>
          <w:bCs/>
          <w:u w:val="single"/>
        </w:rPr>
        <w:t>格式分别导入。</w:t>
      </w:r>
    </w:p>
    <w:p>
      <w:pPr>
        <w:pStyle w:val="52"/>
        <w:spacing w:before="0" w:line="336" w:lineRule="auto"/>
        <w:ind w:left="400" w:leftChars="200" w:firstLine="0" w:firstLineChars="0"/>
        <w:rPr>
          <w:rFonts w:asciiTheme="minorEastAsia" w:hAnsiTheme="minorEastAsia" w:eastAsiaTheme="minorEastAsia"/>
          <w:b/>
          <w:bCs/>
        </w:rPr>
      </w:pPr>
      <w:r>
        <w:rPr>
          <w:rFonts w:cs="宋体" w:asciiTheme="minorEastAsia" w:hAnsiTheme="minorEastAsia" w:eastAsiaTheme="minorEastAsia"/>
          <w:b/>
          <w:bCs/>
        </w:rPr>
        <w:t>10</w:t>
      </w:r>
      <w:r>
        <w:rPr>
          <w:rFonts w:hint="eastAsia" w:cs="宋体" w:asciiTheme="minorEastAsia" w:hAnsiTheme="minorEastAsia" w:eastAsiaTheme="minorEastAsia"/>
          <w:b/>
          <w:bCs/>
        </w:rPr>
        <w:t>．响应文件有效期</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10.1 </w:t>
      </w:r>
      <w:r>
        <w:rPr>
          <w:rFonts w:hint="eastAsia" w:cs="宋体" w:asciiTheme="minorEastAsia" w:hAnsiTheme="minorEastAsia" w:eastAsiaTheme="minorEastAsia"/>
        </w:rPr>
        <w:t>响应文件未在询价响应截止时间前完成传输的或者未按时解密的，视为放弃；响应文件解密失败后未提供备份文件或者备份文件也出现异常情况的，亦视为放弃。</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10.2 </w:t>
      </w:r>
      <w:r>
        <w:rPr>
          <w:rFonts w:hint="eastAsia" w:cs="宋体" w:asciiTheme="minorEastAsia" w:hAnsiTheme="minorEastAsia" w:eastAsiaTheme="minorEastAsia"/>
        </w:rPr>
        <w:t>响应文件上传后，自询价响应截止日期起，在前附表所列的询价响应文件有效期内有效。</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10.3 </w:t>
      </w:r>
      <w:r>
        <w:rPr>
          <w:rFonts w:hint="eastAsia" w:cs="宋体" w:asciiTheme="minorEastAsia" w:hAnsiTheme="minorEastAsia" w:eastAsiaTheme="minorEastAsia"/>
        </w:rPr>
        <w:t>在原定有效期满之前，如果出现特殊情况，采购代理机构可以以书面形式向询价供应商提出延长询价有效期的要求，询价供应商对此须以书面形式予以答复。</w:t>
      </w:r>
    </w:p>
    <w:p>
      <w:pPr>
        <w:pStyle w:val="52"/>
        <w:spacing w:before="0" w:line="336" w:lineRule="auto"/>
        <w:ind w:left="400" w:leftChars="200" w:firstLine="0" w:firstLineChars="0"/>
        <w:rPr>
          <w:rFonts w:cs="宋体" w:asciiTheme="minorEastAsia" w:hAnsiTheme="minorEastAsia" w:eastAsiaTheme="minorEastAsia"/>
          <w:b/>
          <w:bCs/>
        </w:rPr>
      </w:pPr>
    </w:p>
    <w:p>
      <w:pPr>
        <w:pStyle w:val="52"/>
        <w:spacing w:before="0" w:line="336" w:lineRule="auto"/>
        <w:ind w:left="400" w:leftChars="200" w:firstLine="0" w:firstLineChars="0"/>
        <w:rPr>
          <w:rFonts w:asciiTheme="minorEastAsia" w:hAnsiTheme="minorEastAsia" w:eastAsiaTheme="minorEastAsia"/>
          <w:b/>
          <w:bCs/>
        </w:rPr>
      </w:pPr>
      <w:r>
        <w:rPr>
          <w:rFonts w:cs="宋体" w:asciiTheme="minorEastAsia" w:hAnsiTheme="minorEastAsia" w:eastAsiaTheme="minorEastAsia"/>
          <w:b/>
          <w:bCs/>
        </w:rPr>
        <w:t>11</w:t>
      </w:r>
      <w:r>
        <w:rPr>
          <w:rFonts w:hint="eastAsia" w:cs="宋体" w:asciiTheme="minorEastAsia" w:hAnsiTheme="minorEastAsia" w:eastAsiaTheme="minorEastAsia"/>
          <w:b/>
          <w:bCs/>
        </w:rPr>
        <w:t>．供应商如有下列情况之一者列入不良行为记录：</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11.1 </w:t>
      </w:r>
      <w:r>
        <w:rPr>
          <w:rFonts w:hint="eastAsia" w:cs="宋体" w:asciiTheme="minorEastAsia" w:hAnsiTheme="minorEastAsia" w:eastAsiaTheme="minorEastAsia"/>
          <w:kern w:val="2"/>
          <w:sz w:val="24"/>
          <w:szCs w:val="24"/>
        </w:rPr>
        <w:t>供应商在询价响应文件有效期内撤回投标的；</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11.2 </w:t>
      </w:r>
      <w:r>
        <w:rPr>
          <w:rFonts w:hint="eastAsia" w:cs="宋体" w:asciiTheme="minorEastAsia" w:hAnsiTheme="minorEastAsia" w:eastAsiaTheme="minorEastAsia"/>
          <w:kern w:val="2"/>
          <w:sz w:val="24"/>
          <w:szCs w:val="24"/>
        </w:rPr>
        <w:t>供应商或中标候选人放弃中标或中标候选人资格的；</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11.3 </w:t>
      </w:r>
      <w:r>
        <w:rPr>
          <w:rFonts w:hint="eastAsia" w:cs="宋体" w:asciiTheme="minorEastAsia" w:hAnsiTheme="minorEastAsia" w:eastAsiaTheme="minorEastAsia"/>
          <w:kern w:val="2"/>
          <w:sz w:val="24"/>
          <w:szCs w:val="24"/>
        </w:rPr>
        <w:t>擅自修改或拒绝接受已经确认的条款；</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11.4 </w:t>
      </w:r>
      <w:r>
        <w:rPr>
          <w:rFonts w:hint="eastAsia" w:cs="宋体" w:asciiTheme="minorEastAsia" w:hAnsiTheme="minorEastAsia" w:eastAsiaTheme="minorEastAsia"/>
          <w:kern w:val="2"/>
          <w:sz w:val="24"/>
          <w:szCs w:val="24"/>
        </w:rPr>
        <w:t>成交供应商未按规定与采购人签订合同；</w:t>
      </w:r>
    </w:p>
    <w:p>
      <w:pPr>
        <w:adjustRightInd w:val="0"/>
        <w:spacing w:line="360" w:lineRule="auto"/>
        <w:ind w:left="400" w:leftChars="200"/>
        <w:rPr>
          <w:rFonts w:cs="宋体"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11.5 </w:t>
      </w:r>
      <w:r>
        <w:rPr>
          <w:rFonts w:hint="eastAsia" w:cs="宋体" w:asciiTheme="minorEastAsia" w:hAnsiTheme="minorEastAsia" w:eastAsiaTheme="minorEastAsia"/>
          <w:kern w:val="2"/>
          <w:sz w:val="24"/>
          <w:szCs w:val="24"/>
        </w:rPr>
        <w:t>未按规定提供履约保证金；</w:t>
      </w:r>
    </w:p>
    <w:p>
      <w:pPr>
        <w:adjustRightInd w:val="0"/>
        <w:spacing w:line="360" w:lineRule="auto"/>
        <w:ind w:left="400" w:leftChars="200"/>
        <w:rPr>
          <w:rFonts w:cs="宋体"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11.6 </w:t>
      </w:r>
      <w:r>
        <w:rPr>
          <w:rFonts w:hint="eastAsia" w:cs="宋体" w:asciiTheme="minorEastAsia" w:hAnsiTheme="minorEastAsia" w:eastAsiaTheme="minorEastAsia"/>
          <w:kern w:val="2"/>
          <w:sz w:val="24"/>
          <w:szCs w:val="24"/>
        </w:rPr>
        <w:t>供应商采取提供虚假资料等不正当手段的；</w:t>
      </w:r>
    </w:p>
    <w:p>
      <w:pPr>
        <w:adjustRightInd w:val="0"/>
        <w:spacing w:line="360" w:lineRule="auto"/>
        <w:ind w:left="400" w:leftChars="200"/>
        <w:rPr>
          <w:rFonts w:cs="宋体"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11.7 </w:t>
      </w:r>
      <w:r>
        <w:rPr>
          <w:rFonts w:hint="eastAsia" w:cs="宋体" w:asciiTheme="minorEastAsia" w:hAnsiTheme="minorEastAsia" w:eastAsiaTheme="minorEastAsia"/>
          <w:kern w:val="2"/>
          <w:sz w:val="24"/>
          <w:szCs w:val="24"/>
        </w:rPr>
        <w:t>供应商在投标过程中串通投标的。</w:t>
      </w:r>
    </w:p>
    <w:p>
      <w:pPr>
        <w:pStyle w:val="52"/>
        <w:spacing w:before="0" w:line="336" w:lineRule="auto"/>
        <w:ind w:firstLine="482"/>
        <w:rPr>
          <w:rFonts w:asciiTheme="minorEastAsia" w:hAnsiTheme="minorEastAsia" w:eastAsiaTheme="minorEastAsia"/>
          <w:b/>
          <w:bCs/>
        </w:rPr>
      </w:pPr>
      <w:r>
        <w:rPr>
          <w:rFonts w:cs="宋体" w:asciiTheme="minorEastAsia" w:hAnsiTheme="minorEastAsia" w:eastAsiaTheme="minorEastAsia"/>
          <w:b/>
          <w:bCs/>
        </w:rPr>
        <w:t>12</w:t>
      </w:r>
      <w:r>
        <w:rPr>
          <w:rFonts w:hint="eastAsia" w:cs="宋体" w:asciiTheme="minorEastAsia" w:hAnsiTheme="minorEastAsia" w:eastAsiaTheme="minorEastAsia"/>
          <w:b/>
          <w:bCs/>
        </w:rPr>
        <w:t>．响应文件的编制和签署</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12.1 </w:t>
      </w:r>
      <w:r>
        <w:rPr>
          <w:rFonts w:hint="eastAsia" w:cs="宋体" w:asciiTheme="minorEastAsia" w:hAnsiTheme="minorEastAsia" w:eastAsiaTheme="minorEastAsia"/>
        </w:rPr>
        <w:t>按询价文件</w:t>
      </w:r>
      <w:r>
        <w:rPr>
          <w:rFonts w:cs="宋体" w:asciiTheme="minorEastAsia" w:hAnsiTheme="minorEastAsia" w:eastAsiaTheme="minorEastAsia"/>
        </w:rPr>
        <w:t>9.1</w:t>
      </w:r>
      <w:r>
        <w:rPr>
          <w:rFonts w:hint="eastAsia" w:cs="宋体" w:asciiTheme="minorEastAsia" w:hAnsiTheme="minorEastAsia" w:eastAsiaTheme="minorEastAsia"/>
        </w:rPr>
        <w:t>条、</w:t>
      </w:r>
      <w:r>
        <w:rPr>
          <w:rFonts w:cs="宋体" w:asciiTheme="minorEastAsia" w:hAnsiTheme="minorEastAsia" w:eastAsiaTheme="minorEastAsia"/>
        </w:rPr>
        <w:t>9.2</w:t>
      </w:r>
      <w:r>
        <w:rPr>
          <w:rFonts w:hint="eastAsia" w:cs="宋体" w:asciiTheme="minorEastAsia" w:hAnsiTheme="minorEastAsia" w:eastAsiaTheme="minorEastAsia"/>
        </w:rPr>
        <w:t>条、</w:t>
      </w:r>
      <w:r>
        <w:rPr>
          <w:rFonts w:cs="宋体" w:asciiTheme="minorEastAsia" w:hAnsiTheme="minorEastAsia" w:eastAsiaTheme="minorEastAsia"/>
        </w:rPr>
        <w:t>9.3</w:t>
      </w:r>
      <w:r>
        <w:rPr>
          <w:rFonts w:hint="eastAsia" w:cs="宋体" w:asciiTheme="minorEastAsia" w:hAnsiTheme="minorEastAsia" w:eastAsiaTheme="minorEastAsia"/>
        </w:rPr>
        <w:t>条要求提供的各种文件，响应文件分为资格文件、商务技术文件和报价文件三部分。</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12.2 </w:t>
      </w:r>
      <w:r>
        <w:rPr>
          <w:rFonts w:hint="eastAsia" w:cs="宋体" w:asciiTheme="minorEastAsia" w:hAnsiTheme="minorEastAsia" w:eastAsiaTheme="minorEastAsia"/>
        </w:rPr>
        <w:t>响应文件须按附件格式要求进行电子签章，供应商应写全称。（电子询价响应文件中所须加盖公章部分均应采用电子签章）</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12.3 </w:t>
      </w:r>
      <w:r>
        <w:rPr>
          <w:rFonts w:hint="eastAsia" w:cs="宋体" w:asciiTheme="minorEastAsia" w:hAnsiTheme="minorEastAsia" w:eastAsiaTheme="minorEastAsia"/>
        </w:rPr>
        <w:t>全套响应文件应无涂改和行间插字，除非这些删改是根据采购代理机构要求进行，或者是供应商造成的必须修改的错误。所修改处应由法定代表人或其授权代表签字盖章予以确认。</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12.4 </w:t>
      </w:r>
      <w:r>
        <w:rPr>
          <w:rFonts w:hint="eastAsia" w:cs="宋体" w:asciiTheme="minorEastAsia" w:hAnsiTheme="minorEastAsia" w:eastAsiaTheme="minorEastAsia"/>
        </w:rPr>
        <w:t>由于字迹模糊或表达不清引起的后果由供应商负责。</w:t>
      </w:r>
    </w:p>
    <w:p>
      <w:pPr>
        <w:pStyle w:val="52"/>
        <w:spacing w:before="0" w:line="336" w:lineRule="auto"/>
        <w:ind w:firstLine="482"/>
        <w:rPr>
          <w:rFonts w:asciiTheme="minorEastAsia" w:hAnsiTheme="minorEastAsia" w:eastAsiaTheme="minorEastAsia"/>
          <w:b/>
          <w:bCs/>
        </w:rPr>
      </w:pPr>
      <w:r>
        <w:rPr>
          <w:rFonts w:cs="宋体" w:asciiTheme="minorEastAsia" w:hAnsiTheme="minorEastAsia" w:eastAsiaTheme="minorEastAsia"/>
          <w:b/>
          <w:bCs/>
        </w:rPr>
        <w:t>13</w:t>
      </w:r>
      <w:r>
        <w:rPr>
          <w:rFonts w:hint="eastAsia" w:cs="宋体" w:asciiTheme="minorEastAsia" w:hAnsiTheme="minorEastAsia" w:eastAsiaTheme="minorEastAsia"/>
          <w:b/>
          <w:bCs/>
        </w:rPr>
        <w:t>．响应文件的形式</w:t>
      </w:r>
    </w:p>
    <w:p>
      <w:pPr>
        <w:pStyle w:val="52"/>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响应文件为电子询价响应文件，电子询价响应文件按“政采云供应商项目采购</w:t>
      </w:r>
      <w:r>
        <w:rPr>
          <w:rFonts w:cs="宋体" w:asciiTheme="minorEastAsia" w:hAnsiTheme="minorEastAsia" w:eastAsiaTheme="minorEastAsia"/>
        </w:rPr>
        <w:t>-</w:t>
      </w:r>
      <w:r>
        <w:rPr>
          <w:rFonts w:hint="eastAsia" w:cs="宋体" w:asciiTheme="minorEastAsia" w:hAnsiTheme="minorEastAsia" w:eastAsiaTheme="minorEastAsia"/>
        </w:rPr>
        <w:t>电子招投标操作指南”及本询价文件要求制作、加密传输。</w:t>
      </w:r>
    </w:p>
    <w:p>
      <w:pPr>
        <w:pStyle w:val="2"/>
        <w:numPr>
          <w:ilvl w:val="0"/>
          <w:numId w:val="7"/>
        </w:numPr>
        <w:jc w:val="center"/>
        <w:rPr>
          <w:rFonts w:cs="Times New Roman" w:asciiTheme="minorEastAsia" w:hAnsiTheme="minorEastAsia" w:eastAsiaTheme="minorEastAsia"/>
        </w:rPr>
      </w:pPr>
      <w:bookmarkStart w:id="55" w:name="_Toc1420"/>
      <w:bookmarkStart w:id="56" w:name="_Toc21266"/>
      <w:bookmarkStart w:id="57" w:name="_Toc110244150"/>
      <w:r>
        <w:rPr>
          <w:rFonts w:hint="eastAsia" w:asciiTheme="minorEastAsia" w:hAnsiTheme="minorEastAsia" w:eastAsiaTheme="minorEastAsia"/>
        </w:rPr>
        <w:t>响应文件的递交</w:t>
      </w:r>
      <w:bookmarkEnd w:id="55"/>
      <w:bookmarkEnd w:id="56"/>
      <w:bookmarkEnd w:id="57"/>
    </w:p>
    <w:p>
      <w:pPr>
        <w:pStyle w:val="15"/>
        <w:spacing w:line="336" w:lineRule="auto"/>
        <w:ind w:left="400" w:left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14.</w:t>
      </w:r>
      <w:r>
        <w:rPr>
          <w:rFonts w:hint="eastAsia" w:asciiTheme="minorEastAsia" w:hAnsiTheme="minorEastAsia" w:eastAsiaTheme="minorEastAsia"/>
          <w:b/>
          <w:bCs/>
          <w:sz w:val="24"/>
          <w:szCs w:val="24"/>
        </w:rPr>
        <w:t>询价响应截止期</w:t>
      </w:r>
    </w:p>
    <w:p>
      <w:pPr>
        <w:pStyle w:val="52"/>
        <w:numPr>
          <w:ilvl w:val="0"/>
          <w:numId w:val="12"/>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响应文件必须在规定的询价响应截止时间前在政采云系统内完成传输，以纸质、电报、电话、传真形式的投标概不接受。为应对响应文件解密失败等异常情况，供应商可指派授权代表在询价响应截止时间之前到达开标地点提交备份文件。</w:t>
      </w:r>
    </w:p>
    <w:p>
      <w:pPr>
        <w:pStyle w:val="52"/>
        <w:numPr>
          <w:ilvl w:val="0"/>
          <w:numId w:val="12"/>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采购人因故推迟询价响应截止时间，将以公告形式通知。在这种情况下，采购人和供应商的权利和义务将受到新的截止时间的约束。</w:t>
      </w:r>
    </w:p>
    <w:p>
      <w:pPr>
        <w:pStyle w:val="15"/>
        <w:spacing w:line="336" w:lineRule="auto"/>
        <w:ind w:left="400" w:left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15.</w:t>
      </w:r>
      <w:r>
        <w:rPr>
          <w:rFonts w:hint="eastAsia" w:asciiTheme="minorEastAsia" w:hAnsiTheme="minorEastAsia" w:eastAsiaTheme="minorEastAsia"/>
          <w:b/>
          <w:bCs/>
          <w:sz w:val="24"/>
          <w:szCs w:val="24"/>
        </w:rPr>
        <w:t>响应文件的修改、撤销</w:t>
      </w:r>
    </w:p>
    <w:p>
      <w:pPr>
        <w:pStyle w:val="15"/>
        <w:spacing w:line="336"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供应商应当在询价响应截止时间前完成电子交易文件的传输递交，询价响应截止时间前可以补充、修改或者撤回电子交易文件。补充或者修改电子交易文件的，应当先行撤回原文件，补充、修改后重新传输递交。询价响应截止时间前未完成传输的，视为响应文件撤回。</w:t>
      </w:r>
    </w:p>
    <w:p>
      <w:pPr>
        <w:pStyle w:val="2"/>
        <w:numPr>
          <w:ilvl w:val="0"/>
          <w:numId w:val="7"/>
        </w:numPr>
        <w:jc w:val="center"/>
        <w:rPr>
          <w:rFonts w:cs="Times New Roman" w:asciiTheme="minorEastAsia" w:hAnsiTheme="minorEastAsia" w:eastAsiaTheme="minorEastAsia"/>
        </w:rPr>
      </w:pPr>
      <w:bookmarkStart w:id="58" w:name="_Toc24120"/>
      <w:bookmarkStart w:id="59" w:name="_Toc110244151"/>
      <w:r>
        <w:rPr>
          <w:rFonts w:hint="eastAsia" w:asciiTheme="minorEastAsia" w:hAnsiTheme="minorEastAsia" w:eastAsiaTheme="minorEastAsia"/>
        </w:rPr>
        <w:t>询价无效的情形</w:t>
      </w:r>
      <w:bookmarkEnd w:id="58"/>
      <w:bookmarkEnd w:id="59"/>
    </w:p>
    <w:p>
      <w:pPr>
        <w:pStyle w:val="15"/>
        <w:snapToGrid w:val="0"/>
        <w:spacing w:line="336" w:lineRule="auto"/>
        <w:ind w:firstLine="482" w:firstLine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16.</w:t>
      </w:r>
      <w:r>
        <w:rPr>
          <w:rFonts w:hint="eastAsia" w:asciiTheme="minorEastAsia" w:hAnsiTheme="minorEastAsia" w:eastAsiaTheme="minorEastAsia"/>
          <w:b/>
          <w:bCs/>
          <w:sz w:val="24"/>
          <w:szCs w:val="24"/>
        </w:rPr>
        <w:t>无效响应</w:t>
      </w:r>
    </w:p>
    <w:p>
      <w:pPr>
        <w:pStyle w:val="15"/>
        <w:snapToGrid w:val="0"/>
        <w:spacing w:line="336"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经过审查，凡不符合有关规定，不响应询价文件的实质性条款，存在以下重大偏离之一的，经询价小组认定，并由采购人报采购办、监督办备案，将因未通过资格性或符合性审查而被作为无效响应处理：</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w:t>
      </w:r>
      <w:r>
        <w:rPr>
          <w:rFonts w:hint="eastAsia" w:cs="宋体" w:asciiTheme="minorEastAsia" w:hAnsiTheme="minorEastAsia" w:eastAsiaTheme="minorEastAsia"/>
          <w:b/>
          <w:bCs/>
          <w:sz w:val="24"/>
          <w:szCs w:val="24"/>
        </w:rPr>
        <w:t>未按照询价文件规定要求签署、盖章的；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16.2</w:t>
      </w:r>
      <w:r>
        <w:rPr>
          <w:rFonts w:hint="eastAsia" w:cs="宋体" w:asciiTheme="minorEastAsia" w:hAnsiTheme="minorEastAsia" w:eastAsiaTheme="minorEastAsia"/>
          <w:b/>
          <w:bCs/>
          <w:sz w:val="24"/>
          <w:szCs w:val="24"/>
        </w:rPr>
        <w:t>《法定代表人授权书》填写不全、错误、未加盖供应商公章（公章和签字或盖章缺一不可）；</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16.3</w:t>
      </w:r>
      <w:r>
        <w:rPr>
          <w:rFonts w:hint="eastAsia" w:cs="宋体" w:asciiTheme="minorEastAsia" w:hAnsiTheme="minorEastAsia" w:eastAsiaTheme="minorEastAsia"/>
          <w:b/>
          <w:bCs/>
          <w:sz w:val="24"/>
          <w:szCs w:val="24"/>
        </w:rPr>
        <w:t>个体工商户的身份证明与营业执照不一致的；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16.4</w:t>
      </w:r>
      <w:r>
        <w:rPr>
          <w:rFonts w:hint="eastAsia" w:cs="宋体" w:asciiTheme="minorEastAsia" w:hAnsiTheme="minorEastAsia" w:eastAsiaTheme="minorEastAsia"/>
          <w:b/>
          <w:bCs/>
          <w:sz w:val="24"/>
          <w:szCs w:val="24"/>
        </w:rPr>
        <w:t>响应文件中的报价函未加盖供应商的企业公章或填写不全的；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16.5</w:t>
      </w:r>
      <w:r>
        <w:rPr>
          <w:rFonts w:hint="eastAsia" w:cs="宋体" w:asciiTheme="minorEastAsia" w:hAnsiTheme="minorEastAsia" w:eastAsiaTheme="minorEastAsia"/>
          <w:b/>
          <w:bCs/>
          <w:sz w:val="24"/>
          <w:szCs w:val="24"/>
        </w:rPr>
        <w:t>报价一经涂改，未在涂改处加盖投标单位公章或者未经法定代表人或其授权代表签字或盖章的；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16.6</w:t>
      </w:r>
      <w:r>
        <w:rPr>
          <w:rFonts w:hint="eastAsia" w:cs="宋体" w:asciiTheme="minorEastAsia" w:hAnsiTheme="minorEastAsia" w:eastAsiaTheme="minorEastAsia"/>
          <w:b/>
          <w:bCs/>
          <w:sz w:val="24"/>
          <w:szCs w:val="24"/>
        </w:rPr>
        <w:t>因未按规定的格式填写，内容不全或主要实质性内容字迹模糊辨认不清</w:t>
      </w:r>
      <w:r>
        <w:rPr>
          <w:rFonts w:hint="eastAsia" w:ascii="宋体" w:hAnsi="宋体" w:cs="宋体"/>
          <w:b/>
          <w:bCs/>
          <w:sz w:val="24"/>
          <w:szCs w:val="21"/>
        </w:rPr>
        <w:t>,经评标委员会认定为无法评审</w:t>
      </w:r>
      <w:r>
        <w:rPr>
          <w:rFonts w:hint="eastAsia" w:cs="宋体" w:asciiTheme="minorEastAsia" w:hAnsiTheme="minorEastAsia" w:eastAsiaTheme="minorEastAsia"/>
          <w:b/>
          <w:bCs/>
          <w:sz w:val="24"/>
          <w:szCs w:val="24"/>
        </w:rPr>
        <w:t>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16.7</w:t>
      </w:r>
      <w:r>
        <w:rPr>
          <w:rFonts w:hint="eastAsia" w:cs="宋体" w:asciiTheme="minorEastAsia" w:hAnsiTheme="minorEastAsia" w:eastAsiaTheme="minorEastAsia"/>
          <w:b/>
          <w:bCs/>
          <w:sz w:val="24"/>
          <w:szCs w:val="24"/>
        </w:rPr>
        <w:t>出现同一标的物或本次采购产品</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服务</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内的主要产品</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重要组成部分</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出现技术、商务描述不一致或前后描述不一致</w:t>
      </w:r>
      <w:r>
        <w:rPr>
          <w:rFonts w:hint="eastAsia" w:ascii="宋体" w:hAnsi="宋体" w:cs="宋体"/>
          <w:b/>
          <w:bCs/>
          <w:sz w:val="24"/>
          <w:szCs w:val="21"/>
        </w:rPr>
        <w:t>，经评标委员会认定后为无法评审</w:t>
      </w:r>
      <w:r>
        <w:rPr>
          <w:rFonts w:hint="eastAsia" w:cs="宋体" w:asciiTheme="minorEastAsia" w:hAnsiTheme="minorEastAsia" w:eastAsiaTheme="minorEastAsia"/>
          <w:b/>
          <w:bCs/>
          <w:sz w:val="24"/>
          <w:szCs w:val="24"/>
        </w:rPr>
        <w:t>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16.8</w:t>
      </w:r>
      <w:r>
        <w:rPr>
          <w:rFonts w:hint="eastAsia" w:cs="宋体" w:asciiTheme="minorEastAsia" w:hAnsiTheme="minorEastAsia" w:eastAsiaTheme="minorEastAsia"/>
          <w:b/>
          <w:bCs/>
          <w:sz w:val="24"/>
          <w:szCs w:val="24"/>
        </w:rPr>
        <w:t>响应详细配置清单响应表不真实填写或弄虚作假的；改变询价文件提供的清单中的计量单位、工程数量；</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16.9</w:t>
      </w:r>
      <w:r>
        <w:rPr>
          <w:rFonts w:hint="eastAsia" w:cs="宋体" w:asciiTheme="minorEastAsia" w:hAnsiTheme="minorEastAsia" w:eastAsiaTheme="minorEastAsia"/>
          <w:b/>
          <w:bCs/>
          <w:sz w:val="24"/>
          <w:szCs w:val="24"/>
        </w:rPr>
        <w:t>对采购产品技术规格未详细应答</w:t>
      </w:r>
      <w:r>
        <w:rPr>
          <w:rFonts w:hint="eastAsia" w:ascii="宋体" w:hAnsi="宋体" w:cs="宋体"/>
          <w:b/>
          <w:bCs/>
          <w:sz w:val="24"/>
          <w:szCs w:val="21"/>
        </w:rPr>
        <w:t>，致使其技术文件无法评审</w:t>
      </w:r>
      <w:r>
        <w:rPr>
          <w:rFonts w:hint="eastAsia" w:cs="宋体" w:asciiTheme="minorEastAsia" w:hAnsiTheme="minorEastAsia" w:eastAsiaTheme="minorEastAsia"/>
          <w:b/>
          <w:bCs/>
          <w:sz w:val="24"/>
          <w:szCs w:val="24"/>
        </w:rPr>
        <w:t>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16.10</w:t>
      </w:r>
      <w:r>
        <w:rPr>
          <w:rFonts w:hint="eastAsia" w:cs="宋体" w:asciiTheme="minorEastAsia" w:hAnsiTheme="minorEastAsia" w:eastAsiaTheme="minorEastAsia"/>
          <w:b/>
          <w:bCs/>
          <w:sz w:val="24"/>
          <w:szCs w:val="24"/>
        </w:rPr>
        <w:t>响应文件有采购方不能接受的条件；</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16.11</w:t>
      </w:r>
      <w:r>
        <w:rPr>
          <w:rFonts w:hint="eastAsia" w:cs="宋体" w:asciiTheme="minorEastAsia" w:hAnsiTheme="minorEastAsia" w:eastAsiaTheme="minorEastAsia"/>
          <w:b/>
          <w:bCs/>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16.12</w:t>
      </w:r>
      <w:r>
        <w:rPr>
          <w:rFonts w:hint="eastAsia" w:cs="宋体" w:asciiTheme="minorEastAsia" w:hAnsiTheme="minorEastAsia" w:eastAsiaTheme="minorEastAsia"/>
          <w:b/>
          <w:bCs/>
          <w:sz w:val="24"/>
          <w:szCs w:val="24"/>
        </w:rPr>
        <w:t>询价报价超过预算金额或最高限价的；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16.13</w:t>
      </w:r>
      <w:r>
        <w:rPr>
          <w:rFonts w:hint="eastAsia" w:cs="宋体" w:asciiTheme="minorEastAsia" w:hAnsiTheme="minorEastAsia" w:eastAsiaTheme="minorEastAsia"/>
          <w:b/>
          <w:bCs/>
          <w:sz w:val="24"/>
          <w:szCs w:val="24"/>
        </w:rPr>
        <w:t>响应文件“商务技术文件资料”部分中出现《报价一览表》或《报价明细表》相关内容的；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16.14</w:t>
      </w:r>
      <w:r>
        <w:rPr>
          <w:rFonts w:hint="eastAsia" w:cs="宋体" w:asciiTheme="minorEastAsia" w:hAnsiTheme="minorEastAsia" w:eastAsiaTheme="minorEastAsia"/>
          <w:b/>
          <w:bCs/>
          <w:sz w:val="24"/>
          <w:szCs w:val="24"/>
        </w:rPr>
        <w:t>有重大偏差或实质性不响应询价文件要求的，即“★”的关键性指标及技术参数要求负偏离或缺漏；</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16.15</w:t>
      </w:r>
      <w:r>
        <w:rPr>
          <w:rFonts w:hint="eastAsia" w:cs="宋体" w:asciiTheme="minorEastAsia" w:hAnsiTheme="minorEastAsia" w:eastAsiaTheme="minorEastAsia"/>
          <w:b/>
          <w:bCs/>
          <w:sz w:val="24"/>
          <w:szCs w:val="24"/>
        </w:rPr>
        <w:t>供应商拒绝按询价文件规定的修正原则对响应文件进行修改的；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w:t>
      </w:r>
      <w:r>
        <w:rPr>
          <w:rFonts w:hint="eastAsia" w:cs="宋体" w:asciiTheme="minorEastAsia" w:hAnsiTheme="minorEastAsia" w:eastAsiaTheme="minorEastAsia"/>
          <w:b/>
          <w:bCs/>
          <w:sz w:val="24"/>
          <w:szCs w:val="24"/>
        </w:rPr>
        <w:t>有下列情形之一的，视为供应商串通投标，其投标无效：</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16.16.1</w:t>
      </w:r>
      <w:r>
        <w:rPr>
          <w:rFonts w:hint="eastAsia" w:cs="宋体" w:asciiTheme="minorEastAsia" w:hAnsiTheme="minorEastAsia" w:eastAsiaTheme="minorEastAsia"/>
          <w:b/>
          <w:bCs/>
          <w:sz w:val="24"/>
          <w:szCs w:val="24"/>
        </w:rPr>
        <w:t>不同供应商的响应文件由同一单位或者个人编制；</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16.16.2</w:t>
      </w:r>
      <w:r>
        <w:rPr>
          <w:rFonts w:hint="eastAsia" w:cs="宋体" w:asciiTheme="minorEastAsia" w:hAnsiTheme="minorEastAsia" w:eastAsiaTheme="minorEastAsia"/>
          <w:b/>
          <w:bCs/>
          <w:sz w:val="24"/>
          <w:szCs w:val="24"/>
        </w:rPr>
        <w:t>不同供应商委托同一单位或者个人办理投标事宜；</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16.16.3</w:t>
      </w:r>
      <w:r>
        <w:rPr>
          <w:rFonts w:hint="eastAsia" w:cs="宋体" w:asciiTheme="minorEastAsia" w:hAnsiTheme="minorEastAsia" w:eastAsiaTheme="minorEastAsia"/>
          <w:b/>
          <w:bCs/>
          <w:sz w:val="24"/>
          <w:szCs w:val="24"/>
        </w:rPr>
        <w:t>不同供应商的响应文件载明的项目管理成员或者联系人员为同一人；</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16.16.4</w:t>
      </w:r>
      <w:r>
        <w:rPr>
          <w:rFonts w:hint="eastAsia" w:cs="宋体" w:asciiTheme="minorEastAsia" w:hAnsiTheme="minorEastAsia" w:eastAsiaTheme="minorEastAsia"/>
          <w:b/>
          <w:bCs/>
          <w:sz w:val="24"/>
          <w:szCs w:val="24"/>
        </w:rPr>
        <w:t>不同供应商的响应文件异常一致或者投标报价呈规律性差异；</w:t>
      </w:r>
    </w:p>
    <w:p>
      <w:pPr>
        <w:spacing w:line="336" w:lineRule="auto"/>
        <w:ind w:firstLine="482" w:firstLineChars="200"/>
        <w:rPr>
          <w:rFonts w:hint="eastAsia" w:cs="宋体" w:asciiTheme="minorEastAsia" w:hAnsiTheme="minorEastAsia" w:eastAsiaTheme="minorEastAsia"/>
          <w:b/>
          <w:bCs/>
          <w:sz w:val="24"/>
          <w:szCs w:val="24"/>
        </w:rPr>
      </w:pPr>
      <w:r>
        <w:rPr>
          <w:rFonts w:cs="宋体" w:asciiTheme="minorEastAsia" w:hAnsiTheme="minorEastAsia" w:eastAsiaTheme="minorEastAsia"/>
          <w:b/>
          <w:bCs/>
          <w:sz w:val="24"/>
          <w:szCs w:val="24"/>
        </w:rPr>
        <w:t>16.16.5</w:t>
      </w:r>
      <w:r>
        <w:rPr>
          <w:rFonts w:hint="eastAsia" w:cs="宋体" w:asciiTheme="minorEastAsia" w:hAnsiTheme="minorEastAsia" w:eastAsiaTheme="minorEastAsia"/>
          <w:b/>
          <w:bCs/>
          <w:sz w:val="24"/>
          <w:szCs w:val="24"/>
        </w:rPr>
        <w:t>不同供应商提供的响应文件出自同一终端设备的，或在相同</w:t>
      </w:r>
      <w:r>
        <w:rPr>
          <w:rFonts w:cs="宋体" w:asciiTheme="minorEastAsia" w:hAnsiTheme="minorEastAsia" w:eastAsiaTheme="minorEastAsia"/>
          <w:b/>
          <w:bCs/>
          <w:sz w:val="24"/>
          <w:szCs w:val="24"/>
        </w:rPr>
        <w:t>Internet</w:t>
      </w:r>
      <w:r>
        <w:rPr>
          <w:rFonts w:hint="eastAsia" w:cs="宋体" w:asciiTheme="minorEastAsia" w:hAnsiTheme="minorEastAsia" w:eastAsiaTheme="minorEastAsia"/>
          <w:b/>
          <w:bCs/>
          <w:sz w:val="24"/>
          <w:szCs w:val="24"/>
        </w:rPr>
        <w:t>主机分配地址（相同</w:t>
      </w:r>
      <w:r>
        <w:rPr>
          <w:rFonts w:cs="宋体" w:asciiTheme="minorEastAsia" w:hAnsiTheme="minorEastAsia" w:eastAsiaTheme="minorEastAsia"/>
          <w:b/>
          <w:bCs/>
          <w:sz w:val="24"/>
          <w:szCs w:val="24"/>
        </w:rPr>
        <w:t>IP</w:t>
      </w:r>
      <w:r>
        <w:rPr>
          <w:rFonts w:hint="eastAsia" w:cs="宋体" w:asciiTheme="minorEastAsia" w:hAnsiTheme="minorEastAsia" w:eastAsiaTheme="minorEastAsia"/>
          <w:b/>
          <w:bCs/>
          <w:sz w:val="24"/>
          <w:szCs w:val="24"/>
        </w:rPr>
        <w:t>地址）报名或网上投标的，且经询标澄清供应商无令人信服的理由和可靠证据证明其合理性的</w:t>
      </w:r>
      <w:r>
        <w:rPr>
          <w:rFonts w:hint="eastAsia" w:ascii="宋体" w:hAnsi="宋体" w:cs="宋体"/>
          <w:b/>
          <w:bCs/>
          <w:sz w:val="24"/>
          <w:szCs w:val="21"/>
        </w:rPr>
        <w:t>，经评标委员会半数以上成员确认有串通投标嫌疑的</w:t>
      </w:r>
      <w:r>
        <w:rPr>
          <w:rFonts w:hint="eastAsia" w:cs="宋体" w:asciiTheme="minorEastAsia" w:hAnsiTheme="minorEastAsia" w:eastAsiaTheme="minorEastAsia"/>
          <w:b/>
          <w:bCs/>
          <w:sz w:val="24"/>
          <w:szCs w:val="24"/>
        </w:rPr>
        <w:t>。</w:t>
      </w:r>
    </w:p>
    <w:p>
      <w:pPr>
        <w:pStyle w:val="2"/>
        <w:ind w:firstLine="482" w:firstLineChars="200"/>
      </w:pPr>
      <w:r>
        <w:rPr>
          <w:rFonts w:hint="eastAsia" w:cs="宋体" w:asciiTheme="minorEastAsia" w:hAnsiTheme="minorEastAsia" w:eastAsiaTheme="minorEastAsia"/>
          <w:b/>
          <w:bCs/>
          <w:sz w:val="24"/>
          <w:szCs w:val="24"/>
        </w:rPr>
        <w:t xml:space="preserve">16.17 </w:t>
      </w:r>
      <w:r>
        <w:rPr>
          <w:rFonts w:hint="eastAsia" w:cs="宋体" w:asciiTheme="minorEastAsia" w:hAnsiTheme="minorEastAsia" w:eastAsiaTheme="minorEastAsia"/>
          <w:b/>
          <w:bCs/>
          <w:sz w:val="24"/>
          <w:szCs w:val="24"/>
          <w:lang w:val="en-US" w:eastAsia="zh-CN"/>
        </w:rPr>
        <w:t>未按规定缴纳询价保证金的；</w:t>
      </w:r>
    </w:p>
    <w:p>
      <w:pPr>
        <w:spacing w:line="336"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16.1</w:t>
      </w:r>
      <w:r>
        <w:rPr>
          <w:rFonts w:hint="eastAsia" w:cs="宋体" w:asciiTheme="minorEastAsia" w:hAnsiTheme="minorEastAsia" w:eastAsiaTheme="minorEastAsia"/>
          <w:b/>
          <w:bCs/>
          <w:sz w:val="24"/>
          <w:szCs w:val="24"/>
          <w:lang w:val="en-US" w:eastAsia="zh-CN"/>
        </w:rPr>
        <w:t>8</w:t>
      </w:r>
      <w:r>
        <w:rPr>
          <w:rFonts w:hint="eastAsia" w:cs="宋体" w:asciiTheme="minorEastAsia" w:hAnsiTheme="minorEastAsia" w:eastAsiaTheme="minorEastAsia"/>
          <w:b/>
          <w:bCs/>
          <w:sz w:val="24"/>
          <w:szCs w:val="24"/>
        </w:rPr>
        <w:t xml:space="preserve"> 其他违反法律、法规的情形。</w:t>
      </w:r>
    </w:p>
    <w:p>
      <w:pPr>
        <w:pStyle w:val="2"/>
        <w:numPr>
          <w:ilvl w:val="0"/>
          <w:numId w:val="7"/>
        </w:numPr>
        <w:jc w:val="center"/>
        <w:rPr>
          <w:rFonts w:cs="Times New Roman" w:asciiTheme="minorEastAsia" w:hAnsiTheme="minorEastAsia" w:eastAsiaTheme="minorEastAsia"/>
        </w:rPr>
      </w:pPr>
      <w:bookmarkStart w:id="60" w:name="_Toc21752"/>
      <w:bookmarkStart w:id="61" w:name="_Toc110244152"/>
      <w:r>
        <w:rPr>
          <w:rFonts w:hint="eastAsia" w:asciiTheme="minorEastAsia" w:hAnsiTheme="minorEastAsia" w:eastAsiaTheme="minorEastAsia"/>
        </w:rPr>
        <w:t>采购中止的情形</w:t>
      </w:r>
      <w:bookmarkEnd w:id="60"/>
      <w:bookmarkEnd w:id="61"/>
    </w:p>
    <w:p>
      <w:pPr>
        <w:pStyle w:val="15"/>
        <w:spacing w:line="336" w:lineRule="auto"/>
        <w:ind w:left="400" w:left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17.</w:t>
      </w:r>
      <w:r>
        <w:rPr>
          <w:rFonts w:hint="eastAsia" w:asciiTheme="minorEastAsia" w:hAnsiTheme="minorEastAsia" w:eastAsiaTheme="minorEastAsia"/>
          <w:b/>
          <w:bCs/>
          <w:sz w:val="24"/>
          <w:szCs w:val="24"/>
          <w:lang w:val="zh-CN"/>
        </w:rPr>
        <w:t>中止电子交易活动和</w:t>
      </w:r>
      <w:r>
        <w:rPr>
          <w:rFonts w:hint="eastAsia" w:asciiTheme="minorEastAsia" w:hAnsiTheme="minorEastAsia" w:eastAsiaTheme="minorEastAsia"/>
          <w:b/>
          <w:bCs/>
          <w:sz w:val="24"/>
          <w:szCs w:val="24"/>
        </w:rPr>
        <w:t>重新组织采购</w:t>
      </w:r>
    </w:p>
    <w:p>
      <w:pPr>
        <w:pStyle w:val="52"/>
        <w:tabs>
          <w:tab w:val="left" w:pos="0"/>
        </w:tabs>
        <w:spacing w:before="0" w:line="336" w:lineRule="auto"/>
        <w:ind w:firstLine="480"/>
        <w:rPr>
          <w:rFonts w:asciiTheme="minorEastAsia" w:hAnsiTheme="minorEastAsia" w:eastAsiaTheme="minorEastAsia"/>
          <w:lang w:val="zh-CN"/>
        </w:rPr>
      </w:pPr>
      <w:r>
        <w:rPr>
          <w:rFonts w:cs="宋体" w:asciiTheme="minorEastAsia" w:hAnsiTheme="minorEastAsia" w:eastAsiaTheme="minorEastAsia"/>
        </w:rPr>
        <w:t>17.1</w:t>
      </w:r>
      <w:r>
        <w:rPr>
          <w:rFonts w:hint="eastAsia" w:cs="宋体" w:asciiTheme="minorEastAsia" w:hAnsiTheme="minorEastAsia" w:eastAsiaTheme="minorEastAsia"/>
          <w:lang w:val="zh-CN"/>
        </w:rPr>
        <w:t>采购过程中出现以下情形，导致电子交易平台无法正常运行，或者无法保证电子交易的公平、公正和安全时，采购组织机构可中止电子交易活动：</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电子交易平台发生故障而无法登录访问的；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电子交易平台应用或数据库出现错误，不能进行正常操作的；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电子交易平台发现严重安全漏洞，有潜在泄密危险的；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病毒发作导致不能进行正常操作的；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其他无法保证电子交易的公平、公正和安全的情况。</w:t>
      </w:r>
    </w:p>
    <w:p>
      <w:pPr>
        <w:pStyle w:val="2"/>
        <w:numPr>
          <w:ilvl w:val="0"/>
          <w:numId w:val="7"/>
        </w:numPr>
        <w:jc w:val="center"/>
        <w:rPr>
          <w:rFonts w:cs="Times New Roman" w:asciiTheme="minorEastAsia" w:hAnsiTheme="minorEastAsia" w:eastAsiaTheme="minorEastAsia"/>
        </w:rPr>
      </w:pPr>
      <w:bookmarkStart w:id="62" w:name="_Toc110244153"/>
      <w:r>
        <w:rPr>
          <w:rFonts w:hint="eastAsia" w:cs="Times New Roman" w:asciiTheme="minorEastAsia" w:hAnsiTheme="minorEastAsia" w:eastAsiaTheme="minorEastAsia"/>
        </w:rPr>
        <w:t>授予合同</w:t>
      </w:r>
      <w:bookmarkEnd w:id="62"/>
    </w:p>
    <w:p>
      <w:pPr>
        <w:spacing w:line="360" w:lineRule="auto"/>
        <w:ind w:firstLine="482" w:firstLineChars="200"/>
        <w:rPr>
          <w:rFonts w:ascii="宋体" w:hAnsi="宋体" w:cs="宋体"/>
          <w:b/>
          <w:bCs/>
          <w:sz w:val="24"/>
          <w:szCs w:val="32"/>
        </w:rPr>
      </w:pPr>
      <w:bookmarkStart w:id="63" w:name="_Toc84325929"/>
      <w:bookmarkStart w:id="64" w:name="_Toc81372776"/>
      <w:bookmarkStart w:id="65" w:name="_Toc81372953"/>
      <w:r>
        <w:rPr>
          <w:rFonts w:hint="eastAsia" w:ascii="宋体" w:hAnsi="宋体" w:cs="宋体"/>
          <w:b/>
          <w:bCs/>
          <w:sz w:val="24"/>
          <w:szCs w:val="32"/>
        </w:rPr>
        <w:t>18.1询价结果：</w:t>
      </w:r>
    </w:p>
    <w:p>
      <w:pPr>
        <w:spacing w:line="360" w:lineRule="auto"/>
        <w:ind w:firstLine="480" w:firstLineChars="200"/>
        <w:rPr>
          <w:rFonts w:ascii="宋体" w:hAnsi="宋体" w:cs="宋体"/>
          <w:sz w:val="24"/>
          <w:szCs w:val="32"/>
        </w:rPr>
      </w:pPr>
      <w:r>
        <w:rPr>
          <w:rFonts w:hint="eastAsia" w:ascii="宋体" w:hAnsi="宋体" w:cs="宋体"/>
          <w:sz w:val="24"/>
          <w:szCs w:val="32"/>
        </w:rPr>
        <w:t>询价小组完成评定后，向采购人提交经各询价小组成员签字的评审结果报告，并按询价办法确定成交供应商，在浙江政府采购网和绍兴市上虞区公共资源交易中心公告1个工作日，供应商对询价结果如有异议，可在规定时间内以书面形式署名向采购人提出质疑，但需对投诉或质疑内容的真实性承担法律责任。供应商质疑、投诉应当有明确的请求和必要的证明材料，供应商投诉的事项不得超出已质疑事项的范围。</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18.2成交通知和合同授予</w:t>
      </w:r>
    </w:p>
    <w:p>
      <w:pPr>
        <w:spacing w:line="360" w:lineRule="auto"/>
        <w:ind w:firstLine="480" w:firstLineChars="200"/>
        <w:rPr>
          <w:rFonts w:ascii="宋体" w:hAnsi="宋体" w:cs="宋体"/>
          <w:sz w:val="24"/>
          <w:szCs w:val="32"/>
        </w:rPr>
      </w:pPr>
      <w:r>
        <w:rPr>
          <w:rFonts w:hint="eastAsia" w:ascii="宋体" w:hAnsi="宋体" w:cs="宋体"/>
          <w:sz w:val="24"/>
          <w:szCs w:val="32"/>
        </w:rPr>
        <w:t>（1）采购人应当自中标通知书发出之日起30日内，按照询价文件和成交供应商响应文件的规定，与成交供应商签订书面合同。所签订的合同不得对询价文件确定的事项和成交供应商响应文件作实质性修改。</w:t>
      </w:r>
    </w:p>
    <w:p>
      <w:pPr>
        <w:spacing w:line="360" w:lineRule="auto"/>
        <w:ind w:firstLine="480" w:firstLineChars="200"/>
        <w:rPr>
          <w:rFonts w:ascii="宋体" w:hAnsi="宋体" w:cs="宋体"/>
          <w:szCs w:val="32"/>
        </w:rPr>
      </w:pPr>
      <w:r>
        <w:rPr>
          <w:rFonts w:hint="eastAsia" w:ascii="宋体" w:hAnsi="宋体" w:cs="宋体"/>
          <w:sz w:val="24"/>
          <w:szCs w:val="32"/>
        </w:rPr>
        <w:t>（2）中标或者成交供应商拒绝与采购人签订合同的，采购人可以按照评审报告推荐的中标或者成交候选人名单排序，确定下一候选人为中标或者成交供应商，也可以重新开展政府采购活动。</w:t>
      </w:r>
    </w:p>
    <w:p>
      <w:pPr>
        <w:spacing w:line="360" w:lineRule="auto"/>
        <w:ind w:firstLine="482" w:firstLineChars="200"/>
        <w:jc w:val="left"/>
        <w:rPr>
          <w:rFonts w:ascii="宋体" w:hAnsi="宋体" w:cs="宋体"/>
          <w:b/>
          <w:sz w:val="24"/>
        </w:rPr>
      </w:pPr>
      <w:r>
        <w:rPr>
          <w:rFonts w:hint="eastAsia" w:ascii="宋体" w:hAnsi="宋体" w:cs="宋体"/>
          <w:b/>
          <w:sz w:val="24"/>
        </w:rPr>
        <w:t>18.3中标通知</w:t>
      </w:r>
    </w:p>
    <w:bookmarkEnd w:id="63"/>
    <w:bookmarkEnd w:id="64"/>
    <w:bookmarkEnd w:id="65"/>
    <w:p>
      <w:pPr>
        <w:pStyle w:val="15"/>
        <w:spacing w:line="360" w:lineRule="auto"/>
        <w:ind w:firstLine="480" w:firstLineChars="200"/>
        <w:jc w:val="left"/>
        <w:rPr>
          <w:rFonts w:hAnsi="宋体"/>
          <w:sz w:val="24"/>
        </w:rPr>
      </w:pPr>
      <w:r>
        <w:rPr>
          <w:rFonts w:hint="eastAsia" w:hAnsi="宋体"/>
          <w:sz w:val="24"/>
          <w:szCs w:val="32"/>
        </w:rPr>
        <w:t>（1）</w:t>
      </w:r>
      <w:r>
        <w:rPr>
          <w:rFonts w:hint="eastAsia" w:hAnsi="宋体"/>
          <w:sz w:val="24"/>
        </w:rPr>
        <w:t>采购代理机构在询价结束后7日内向成交供应商签发中标通知书。</w:t>
      </w:r>
    </w:p>
    <w:p>
      <w:pPr>
        <w:pStyle w:val="15"/>
        <w:spacing w:line="360" w:lineRule="auto"/>
        <w:ind w:firstLine="480" w:firstLineChars="200"/>
        <w:jc w:val="left"/>
        <w:rPr>
          <w:rFonts w:hAnsi="宋体"/>
          <w:sz w:val="24"/>
        </w:rPr>
      </w:pPr>
      <w:r>
        <w:rPr>
          <w:rFonts w:hint="eastAsia" w:hAnsi="宋体"/>
          <w:sz w:val="24"/>
          <w:szCs w:val="32"/>
        </w:rPr>
        <w:t>（2）</w:t>
      </w:r>
      <w:r>
        <w:rPr>
          <w:rFonts w:hint="eastAsia" w:hAnsi="宋体"/>
          <w:sz w:val="24"/>
        </w:rPr>
        <w:t>在采购机构发出成交通知书前，预成交供应商有违反有关法律法规和本项目要求行为的，则取消该供应商的预中标资格，</w:t>
      </w:r>
      <w:r>
        <w:rPr>
          <w:rFonts w:hint="eastAsia" w:hAnsi="宋体"/>
          <w:sz w:val="24"/>
          <w:szCs w:val="32"/>
        </w:rPr>
        <w:t>列入政府采购活动不良诚信行为</w:t>
      </w:r>
      <w:r>
        <w:rPr>
          <w:rFonts w:hint="eastAsia" w:hAnsi="宋体"/>
          <w:sz w:val="24"/>
        </w:rPr>
        <w:t>。</w:t>
      </w:r>
    </w:p>
    <w:p>
      <w:pPr>
        <w:pStyle w:val="52"/>
        <w:snapToGrid w:val="0"/>
        <w:spacing w:before="0"/>
        <w:ind w:firstLine="480"/>
        <w:rPr>
          <w:rFonts w:ascii="宋体" w:hAnsi="宋体" w:cs="宋体"/>
        </w:rPr>
      </w:pPr>
      <w:r>
        <w:rPr>
          <w:rFonts w:hint="eastAsia" w:ascii="宋体" w:hAnsi="宋体" w:cs="宋体"/>
          <w:szCs w:val="32"/>
        </w:rPr>
        <w:t>（3）</w:t>
      </w:r>
      <w:r>
        <w:rPr>
          <w:rFonts w:hint="eastAsia" w:hAnsi="宋体" w:cs="宋体"/>
        </w:rPr>
        <w:t>采购人、采购机构对中标结果不作任何说明和解释，也不回答任何提问。</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18.4解释权</w:t>
      </w:r>
    </w:p>
    <w:p>
      <w:pPr>
        <w:adjustRightInd w:val="0"/>
        <w:spacing w:line="336" w:lineRule="auto"/>
        <w:ind w:firstLine="480" w:firstLineChars="200"/>
        <w:rPr>
          <w:rFonts w:asciiTheme="minorEastAsia" w:hAnsiTheme="minorEastAsia" w:eastAsiaTheme="minorEastAsia"/>
          <w:sz w:val="24"/>
          <w:szCs w:val="24"/>
        </w:rPr>
      </w:pPr>
      <w:r>
        <w:rPr>
          <w:rFonts w:hint="eastAsia" w:ascii="宋体" w:hAnsi="宋体" w:cs="宋体"/>
          <w:sz w:val="24"/>
        </w:rPr>
        <w:t>询价文件的解释权均属于</w:t>
      </w:r>
      <w:r>
        <w:rPr>
          <w:rFonts w:hint="eastAsia" w:ascii="宋体" w:hAnsi="宋体" w:cs="宋体"/>
          <w:sz w:val="24"/>
          <w:u w:val="single"/>
          <w:lang w:eastAsia="zh-CN"/>
        </w:rPr>
        <w:t>绍兴市上虞</w:t>
      </w:r>
      <w:r>
        <w:rPr>
          <w:rFonts w:hint="eastAsia" w:ascii="宋体" w:hAnsi="宋体" w:cs="宋体"/>
          <w:sz w:val="24"/>
          <w:u w:val="single"/>
          <w:lang w:val="en-US" w:eastAsia="zh-CN"/>
        </w:rPr>
        <w:t>城市建设集团</w:t>
      </w:r>
      <w:r>
        <w:rPr>
          <w:rFonts w:hint="eastAsia" w:ascii="宋体" w:hAnsi="宋体" w:cs="宋体"/>
          <w:sz w:val="24"/>
          <w:u w:val="single"/>
          <w:lang w:eastAsia="zh-CN"/>
        </w:rPr>
        <w:t>有限公司</w:t>
      </w:r>
      <w:r>
        <w:rPr>
          <w:rFonts w:hint="eastAsia" w:ascii="宋体" w:hAnsi="宋体" w:cs="宋体"/>
          <w:sz w:val="24"/>
        </w:rPr>
        <w:t>和</w:t>
      </w:r>
      <w:r>
        <w:rPr>
          <w:rFonts w:hint="eastAsia" w:ascii="宋体" w:hAnsi="宋体" w:cs="宋体"/>
          <w:sz w:val="24"/>
          <w:u w:val="single"/>
        </w:rPr>
        <w:t>绍兴明晨建设项目管理有限公司</w:t>
      </w:r>
      <w:r>
        <w:rPr>
          <w:rFonts w:hint="eastAsia" w:ascii="宋体" w:hAnsi="宋体" w:cs="宋体"/>
          <w:sz w:val="24"/>
        </w:rPr>
        <w:t>。</w:t>
      </w:r>
    </w:p>
    <w:p>
      <w:pPr>
        <w:pStyle w:val="5"/>
        <w:jc w:val="center"/>
        <w:rPr>
          <w:rFonts w:cs="Times New Roman" w:asciiTheme="minorEastAsia" w:hAnsiTheme="minorEastAsia" w:eastAsiaTheme="minorEastAsia"/>
          <w:sz w:val="36"/>
          <w:szCs w:val="36"/>
        </w:rPr>
      </w:pPr>
      <w:r>
        <w:rPr>
          <w:rFonts w:asciiTheme="minorEastAsia" w:hAnsiTheme="minorEastAsia" w:eastAsiaTheme="minorEastAsia"/>
          <w:sz w:val="36"/>
          <w:szCs w:val="36"/>
        </w:rPr>
        <w:br w:type="page"/>
      </w:r>
      <w:bookmarkStart w:id="66" w:name="_Toc110244154"/>
      <w:bookmarkStart w:id="67" w:name="_Toc21248"/>
      <w:r>
        <w:rPr>
          <w:rFonts w:hint="eastAsia" w:asciiTheme="minorEastAsia" w:hAnsiTheme="minorEastAsia" w:eastAsiaTheme="minorEastAsia"/>
          <w:sz w:val="36"/>
          <w:szCs w:val="36"/>
        </w:rPr>
        <w:t>第三部分</w:t>
      </w:r>
      <w:r>
        <w:rPr>
          <w:rFonts w:hint="eastAsia" w:cs="宋体" w:asciiTheme="minorEastAsia" w:hAnsiTheme="minorEastAsia" w:eastAsiaTheme="minorEastAsia"/>
          <w:sz w:val="36"/>
          <w:szCs w:val="36"/>
        </w:rPr>
        <w:t>采购内容及要求</w:t>
      </w:r>
      <w:bookmarkEnd w:id="66"/>
      <w:bookmarkEnd w:id="67"/>
    </w:p>
    <w:p>
      <w:pPr>
        <w:pStyle w:val="2"/>
        <w:jc w:val="center"/>
        <w:rPr>
          <w:rFonts w:asciiTheme="minorEastAsia" w:hAnsiTheme="minorEastAsia" w:eastAsiaTheme="minorEastAsia"/>
          <w:bCs w:val="0"/>
        </w:rPr>
      </w:pPr>
      <w:bookmarkStart w:id="68" w:name="_Toc110244155"/>
      <w:bookmarkStart w:id="69" w:name="_Toc9413"/>
      <w:bookmarkStart w:id="70" w:name="_Toc25162757"/>
      <w:bookmarkStart w:id="71" w:name="_Toc24114"/>
      <w:bookmarkStart w:id="72" w:name="_Toc6216"/>
      <w:bookmarkStart w:id="73" w:name="_Toc28762"/>
      <w:bookmarkStart w:id="74" w:name="_Toc25469"/>
      <w:bookmarkStart w:id="75" w:name="_Toc15473"/>
      <w:bookmarkStart w:id="76" w:name="_Toc25162762"/>
      <w:bookmarkStart w:id="77" w:name="_Toc506107121"/>
      <w:bookmarkStart w:id="78" w:name="_Toc31735"/>
      <w:bookmarkStart w:id="79" w:name="_Toc15284"/>
      <w:r>
        <w:rPr>
          <w:rFonts w:hint="eastAsia" w:asciiTheme="minorEastAsia" w:hAnsiTheme="minorEastAsia" w:eastAsiaTheme="minorEastAsia"/>
        </w:rPr>
        <w:t>第一章 采购内容及要求</w:t>
      </w:r>
      <w:bookmarkEnd w:id="68"/>
      <w:bookmarkEnd w:id="69"/>
    </w:p>
    <w:bookmarkEnd w:id="70"/>
    <w:bookmarkEnd w:id="71"/>
    <w:bookmarkEnd w:id="72"/>
    <w:bookmarkEnd w:id="73"/>
    <w:bookmarkEnd w:id="74"/>
    <w:bookmarkEnd w:id="75"/>
    <w:bookmarkEnd w:id="76"/>
    <w:bookmarkEnd w:id="77"/>
    <w:bookmarkEnd w:id="78"/>
    <w:p>
      <w:pPr>
        <w:pStyle w:val="5"/>
        <w:jc w:val="left"/>
        <w:rPr>
          <w:rFonts w:ascii="宋体" w:hAnsi="Times New Roman" w:cs="Times New Roman"/>
          <w:kern w:val="2"/>
          <w:sz w:val="24"/>
          <w:szCs w:val="24"/>
        </w:rPr>
      </w:pPr>
      <w:bookmarkStart w:id="80" w:name="_Toc446571868"/>
      <w:bookmarkStart w:id="81" w:name="_Toc224554903"/>
      <w:bookmarkStart w:id="82" w:name="_Toc274478233"/>
      <w:bookmarkStart w:id="83" w:name="_Toc274477897"/>
      <w:bookmarkStart w:id="84" w:name="_Toc110244164"/>
      <w:r>
        <w:rPr>
          <w:rFonts w:hint="eastAsia" w:ascii="宋体" w:hAnsi="Times New Roman" w:cs="Times New Roman"/>
          <w:kern w:val="2"/>
          <w:sz w:val="24"/>
          <w:szCs w:val="24"/>
        </w:rPr>
        <w:t>一、项目概述</w:t>
      </w:r>
      <w:bookmarkEnd w:id="80"/>
      <w:bookmarkEnd w:id="81"/>
      <w:bookmarkEnd w:id="82"/>
      <w:bookmarkEnd w:id="83"/>
    </w:p>
    <w:p>
      <w:pPr>
        <w:spacing w:line="460" w:lineRule="exact"/>
        <w:ind w:firstLine="480" w:firstLineChars="200"/>
        <w:rPr>
          <w:rFonts w:ascii="宋体" w:hAnsi="宋体" w:cs="宋体"/>
          <w:color w:val="000000"/>
          <w:sz w:val="24"/>
        </w:rPr>
      </w:pPr>
      <w:r>
        <w:rPr>
          <w:rFonts w:hint="eastAsia" w:ascii="宋体" w:hAnsi="宋体" w:cs="宋体"/>
          <w:color w:val="000000"/>
          <w:sz w:val="24"/>
        </w:rPr>
        <w:t>本项目为</w:t>
      </w:r>
      <w:r>
        <w:rPr>
          <w:rFonts w:hint="eastAsia" w:ascii="宋体" w:hAnsi="宋体" w:eastAsia="宋体" w:cs="宋体"/>
          <w:snapToGrid/>
          <w:color w:val="000000"/>
          <w:sz w:val="24"/>
          <w:szCs w:val="22"/>
          <w:lang w:eastAsia="zh-CN"/>
        </w:rPr>
        <w:t>建设大厦食堂设施设备</w:t>
      </w:r>
      <w:r>
        <w:rPr>
          <w:rFonts w:hint="eastAsia" w:ascii="宋体" w:hAnsi="宋体" w:cs="宋体"/>
          <w:color w:val="000000"/>
          <w:sz w:val="24"/>
        </w:rPr>
        <w:t>采购项目。</w:t>
      </w:r>
    </w:p>
    <w:p>
      <w:pPr>
        <w:pStyle w:val="5"/>
        <w:jc w:val="left"/>
        <w:rPr>
          <w:rFonts w:ascii="宋体" w:hAnsi="宋体" w:cs="宋体"/>
          <w:kern w:val="2"/>
          <w:sz w:val="24"/>
          <w:szCs w:val="24"/>
        </w:rPr>
      </w:pPr>
      <w:bookmarkStart w:id="85" w:name="_Toc446571869"/>
      <w:r>
        <w:rPr>
          <w:rFonts w:hint="eastAsia" w:ascii="宋体" w:hAnsi="宋体" w:cs="宋体"/>
          <w:kern w:val="2"/>
          <w:sz w:val="24"/>
          <w:szCs w:val="24"/>
        </w:rPr>
        <w:t>二、</w:t>
      </w:r>
      <w:bookmarkEnd w:id="85"/>
      <w:r>
        <w:rPr>
          <w:rFonts w:hint="eastAsia" w:ascii="宋体" w:hAnsi="宋体" w:cs="宋体"/>
          <w:kern w:val="2"/>
          <w:sz w:val="24"/>
          <w:szCs w:val="24"/>
        </w:rPr>
        <w:t>项目背景</w:t>
      </w:r>
    </w:p>
    <w:p>
      <w:pPr>
        <w:spacing w:line="46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lang w:eastAsia="zh-CN"/>
        </w:rPr>
        <w:t>建设</w:t>
      </w:r>
      <w:r>
        <w:rPr>
          <w:rFonts w:hint="default" w:ascii="宋体" w:hAnsi="宋体" w:cs="宋体"/>
          <w:color w:val="000000"/>
          <w:sz w:val="24"/>
          <w:lang w:eastAsia="zh-CN"/>
        </w:rPr>
        <w:t>大厦</w:t>
      </w:r>
      <w:r>
        <w:rPr>
          <w:rFonts w:hint="eastAsia" w:ascii="宋体" w:hAnsi="宋体" w:cs="宋体"/>
          <w:color w:val="000000"/>
          <w:sz w:val="24"/>
          <w:lang w:eastAsia="zh-CN"/>
        </w:rPr>
        <w:t>食堂于</w:t>
      </w:r>
      <w:r>
        <w:rPr>
          <w:rFonts w:hint="eastAsia" w:ascii="宋体" w:hAnsi="宋体" w:cs="宋体"/>
          <w:color w:val="000000"/>
          <w:sz w:val="24"/>
          <w:lang w:val="en-US" w:eastAsia="zh-CN"/>
        </w:rPr>
        <w:t>2007年改造后已使用15年之久，厨具、餐具、电气、电子设备、餐座椅等设施设备</w:t>
      </w:r>
      <w:r>
        <w:rPr>
          <w:rFonts w:hint="eastAsia" w:ascii="宋体" w:hAnsi="宋体" w:eastAsia="宋体" w:cs="宋体"/>
          <w:color w:val="000000"/>
          <w:sz w:val="24"/>
          <w:lang w:eastAsia="zh-CN"/>
        </w:rPr>
        <w:t>都存在不同程度生锈或损坏严重，无法使用，存在安全隐患，急需更换。目前的食堂功能布局及设施设备已不符合</w:t>
      </w:r>
      <w:r>
        <w:rPr>
          <w:rFonts w:hint="eastAsia" w:ascii="宋体" w:hAnsi="宋体" w:eastAsia="宋体" w:cs="宋体"/>
          <w:color w:val="000000"/>
          <w:sz w:val="24"/>
          <w:lang w:val="en-US" w:eastAsia="zh-CN"/>
        </w:rPr>
        <w:t>2018年国家</w:t>
      </w:r>
      <w:r>
        <w:rPr>
          <w:rFonts w:hint="eastAsia" w:ascii="宋体" w:hAnsi="宋体" w:cs="宋体"/>
          <w:color w:val="000000"/>
          <w:sz w:val="24"/>
          <w:lang w:val="en-US" w:eastAsia="zh-CN"/>
        </w:rPr>
        <w:t>市场监督管理总局</w:t>
      </w:r>
      <w:r>
        <w:rPr>
          <w:rFonts w:hint="eastAsia" w:ascii="宋体" w:hAnsi="宋体" w:eastAsia="宋体" w:cs="宋体"/>
          <w:color w:val="000000"/>
          <w:sz w:val="24"/>
          <w:lang w:val="en-US" w:eastAsia="zh-CN"/>
        </w:rPr>
        <w:t>发布的《餐饮服务食品安全操作规范》，无法办理许可证，需要重新布局改造。</w:t>
      </w:r>
    </w:p>
    <w:p>
      <w:pPr>
        <w:spacing w:line="460" w:lineRule="exact"/>
        <w:ind w:firstLine="480" w:firstLineChars="200"/>
        <w:rPr>
          <w:rFonts w:ascii="宋体" w:hAnsi="宋体" w:cs="宋体"/>
          <w:color w:val="000000"/>
          <w:sz w:val="24"/>
        </w:rPr>
      </w:pPr>
      <w:r>
        <w:rPr>
          <w:rFonts w:hint="eastAsia" w:ascii="宋体" w:hAnsi="宋体" w:cs="宋体"/>
          <w:color w:val="000000"/>
          <w:sz w:val="24"/>
        </w:rPr>
        <w:t>在“互联网+”时代背景下，随着信息化发展的不断深入、人工智能、智能手机应用的大量普及，传统一卡通表现形式正在向智能一卡通的应用推进。</w:t>
      </w:r>
    </w:p>
    <w:p>
      <w:pPr>
        <w:spacing w:line="460" w:lineRule="exact"/>
        <w:ind w:firstLine="480" w:firstLineChars="200"/>
        <w:rPr>
          <w:rFonts w:ascii="宋体" w:hAnsi="宋体" w:cs="宋体"/>
          <w:color w:val="000000"/>
          <w:sz w:val="24"/>
        </w:rPr>
      </w:pPr>
      <w:r>
        <w:rPr>
          <w:rFonts w:hint="eastAsia" w:ascii="宋体" w:hAnsi="宋体" w:cs="宋体"/>
          <w:color w:val="000000"/>
          <w:sz w:val="24"/>
        </w:rPr>
        <w:t>现有的一卡通系统于多年前开始建设，其应用主要涵盖了食堂、超市消费。随着移动互联网的快速发展及应用需求的不断增加，现有的一卡通系统已经不能满足广大职工的使用需求。整个系统存在软件功能扩展受限、终端硬件设备不支持人脸支付，大大降低了职工的体验。</w:t>
      </w:r>
    </w:p>
    <w:p>
      <w:pPr>
        <w:spacing w:line="460" w:lineRule="exact"/>
        <w:ind w:firstLine="480" w:firstLineChars="200"/>
        <w:rPr>
          <w:rFonts w:ascii="宋体" w:hAnsi="宋体" w:cs="宋体"/>
          <w:color w:val="000000"/>
          <w:sz w:val="24"/>
        </w:rPr>
      </w:pPr>
      <w:r>
        <w:rPr>
          <w:rFonts w:hint="eastAsia" w:ascii="宋体" w:hAnsi="宋体" w:cs="宋体"/>
          <w:color w:val="000000"/>
          <w:sz w:val="24"/>
        </w:rPr>
        <w:t>基于建设需求，结合上虞区住房和城乡建设局的发展规划，将对目前的一卡通系统进行迭代改造建设。更新后的一卡通系统实现一个数据中心，统一密钥，统一发卡、统一管理平台，真正做到“一人、一卡、一脸、一库”。从而提高我司一卡通系统建设和应用的整体水平。</w:t>
      </w:r>
    </w:p>
    <w:p>
      <w:pPr>
        <w:pStyle w:val="5"/>
        <w:jc w:val="left"/>
        <w:rPr>
          <w:rFonts w:ascii="宋体" w:hAnsi="宋体" w:cs="宋体"/>
          <w:kern w:val="2"/>
          <w:sz w:val="24"/>
          <w:szCs w:val="24"/>
        </w:rPr>
      </w:pPr>
      <w:bookmarkStart w:id="86" w:name="_Toc446571870"/>
      <w:r>
        <w:rPr>
          <w:rFonts w:hint="eastAsia" w:ascii="宋体" w:hAnsi="宋体" w:cs="宋体"/>
          <w:kern w:val="2"/>
          <w:sz w:val="24"/>
          <w:szCs w:val="24"/>
        </w:rPr>
        <w:t>三、建设目标</w:t>
      </w:r>
      <w:bookmarkEnd w:id="86"/>
    </w:p>
    <w:p>
      <w:pPr>
        <w:spacing w:line="360" w:lineRule="auto"/>
        <w:ind w:firstLine="480" w:firstLineChars="200"/>
        <w:rPr>
          <w:color w:val="000000"/>
        </w:rPr>
      </w:pPr>
      <w:r>
        <w:rPr>
          <w:rFonts w:hint="eastAsia" w:ascii="宋体" w:hAnsi="宋体" w:eastAsia="宋体" w:cs="宋体"/>
          <w:color w:val="000000"/>
          <w:sz w:val="24"/>
          <w:lang w:val="en-US" w:eastAsia="zh-CN"/>
        </w:rPr>
        <w:t>为切实消除</w:t>
      </w:r>
      <w:r>
        <w:rPr>
          <w:rFonts w:hint="default" w:ascii="宋体" w:hAnsi="宋体" w:cs="宋体"/>
          <w:color w:val="000000"/>
          <w:sz w:val="24"/>
          <w:lang w:eastAsia="zh-CN"/>
        </w:rPr>
        <w:t>建设大厦</w:t>
      </w:r>
      <w:r>
        <w:rPr>
          <w:rFonts w:hint="eastAsia" w:ascii="宋体" w:hAnsi="宋体" w:eastAsia="宋体" w:cs="宋体"/>
          <w:color w:val="000000"/>
          <w:sz w:val="24"/>
          <w:lang w:val="en-US" w:eastAsia="zh-CN"/>
        </w:rPr>
        <w:t>食堂安全隐患</w:t>
      </w:r>
      <w:r>
        <w:rPr>
          <w:rFonts w:hint="eastAsia" w:ascii="宋体" w:hAnsi="宋体" w:eastAsia="宋体" w:cs="宋体"/>
          <w:color w:val="000000"/>
          <w:sz w:val="24"/>
          <w:lang w:eastAsia="zh-CN"/>
        </w:rPr>
        <w:t>，进一步按照相关规范完善食堂功能布局，提升食品安全管理能力，保障餐饮食品安全，故通过本次采购完成对原有厨房设备的更换以及一卡通平台系统的升级</w:t>
      </w:r>
      <w:r>
        <w:rPr>
          <w:rFonts w:hint="eastAsia" w:ascii="宋体" w:hAnsi="宋体" w:cs="宋体"/>
          <w:color w:val="000000"/>
          <w:sz w:val="24"/>
        </w:rPr>
        <w:t>，建设开放、共享、先进、实用的新一代智能支付系统，在现有一卡通实体卡基础上引入二维码、人脸识别等“虚实结合”的识别支付方式，提供卡、码、脸多样化的支付通道；同时以完全开放、标准的数据接口与数据中台、统一身份认证等信息化应用系统实现深度融合、对接，避免形成新的数据孤岛和业务孤岛，提高信息与资源共享程度，提升信息化管理水平。</w:t>
      </w:r>
    </w:p>
    <w:p>
      <w:pPr>
        <w:pStyle w:val="5"/>
        <w:numPr>
          <w:ilvl w:val="0"/>
          <w:numId w:val="14"/>
        </w:numPr>
        <w:jc w:val="left"/>
        <w:rPr>
          <w:rFonts w:ascii="宋体" w:hAnsi="宋体" w:cs="宋体"/>
          <w:kern w:val="2"/>
          <w:sz w:val="24"/>
          <w:szCs w:val="24"/>
        </w:rPr>
      </w:pPr>
      <w:r>
        <w:rPr>
          <w:rFonts w:hint="eastAsia" w:ascii="宋体" w:hAnsi="宋体" w:cs="宋体"/>
          <w:kern w:val="2"/>
          <w:sz w:val="24"/>
          <w:szCs w:val="24"/>
        </w:rPr>
        <w:t>设备清单及技术要求</w:t>
      </w:r>
    </w:p>
    <w:p>
      <w:pPr>
        <w:pStyle w:val="5"/>
        <w:jc w:val="left"/>
        <w:rPr>
          <w:rFonts w:ascii="宋体" w:hAnsi="宋体" w:cs="宋体"/>
          <w:kern w:val="2"/>
          <w:sz w:val="24"/>
          <w:szCs w:val="24"/>
        </w:rPr>
      </w:pPr>
      <w:r>
        <w:rPr>
          <w:rFonts w:hint="eastAsia" w:ascii="宋体" w:hAnsi="宋体" w:cs="宋体"/>
          <w:color w:val="000000"/>
          <w:kern w:val="0"/>
          <w:sz w:val="21"/>
          <w:szCs w:val="21"/>
          <w:lang w:bidi="ar"/>
        </w:rPr>
        <w:t xml:space="preserve">（1）智能结算台结算系统设备清单 </w:t>
      </w:r>
      <w:r>
        <w:rPr>
          <w:rFonts w:hint="eastAsia" w:ascii="新宋体" w:hAnsi="新宋体" w:eastAsia="新宋体" w:cs="新宋体"/>
          <w:color w:val="000000"/>
          <w:kern w:val="0"/>
          <w:sz w:val="28"/>
          <w:szCs w:val="28"/>
          <w:lang w:bidi="ar"/>
        </w:rPr>
        <w:t xml:space="preserve">  </w:t>
      </w:r>
    </w:p>
    <w:tbl>
      <w:tblPr>
        <w:tblStyle w:val="26"/>
        <w:tblpPr w:leftFromText="180" w:rightFromText="180" w:vertAnchor="text" w:horzAnchor="page" w:tblpX="1515" w:tblpY="782"/>
        <w:tblOverlap w:val="never"/>
        <w:tblW w:w="9287" w:type="dxa"/>
        <w:tblInd w:w="0" w:type="dxa"/>
        <w:tblLayout w:type="fixed"/>
        <w:tblCellMar>
          <w:top w:w="0" w:type="dxa"/>
          <w:left w:w="108" w:type="dxa"/>
          <w:bottom w:w="0" w:type="dxa"/>
          <w:right w:w="108" w:type="dxa"/>
        </w:tblCellMar>
      </w:tblPr>
      <w:tblGrid>
        <w:gridCol w:w="577"/>
        <w:gridCol w:w="1102"/>
        <w:gridCol w:w="23"/>
        <w:gridCol w:w="958"/>
        <w:gridCol w:w="3797"/>
        <w:gridCol w:w="1073"/>
        <w:gridCol w:w="831"/>
        <w:gridCol w:w="926"/>
      </w:tblGrid>
      <w:tr>
        <w:tblPrEx>
          <w:tblCellMar>
            <w:top w:w="0" w:type="dxa"/>
            <w:left w:w="108" w:type="dxa"/>
            <w:bottom w:w="0" w:type="dxa"/>
            <w:right w:w="108" w:type="dxa"/>
          </w:tblCellMar>
        </w:tblPrEx>
        <w:trPr>
          <w:trHeight w:val="48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序号</w:t>
            </w:r>
          </w:p>
        </w:tc>
        <w:tc>
          <w:tcPr>
            <w:tcW w:w="112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设备名称</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品牌及型号</w:t>
            </w:r>
          </w:p>
        </w:tc>
        <w:tc>
          <w:tcPr>
            <w:tcW w:w="379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设备参数或技术指标</w:t>
            </w: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新宋体" w:hAnsi="新宋体" w:eastAsia="新宋体" w:cs="新宋体"/>
                <w:b/>
                <w:bCs/>
                <w:color w:val="000000"/>
                <w:sz w:val="18"/>
                <w:szCs w:val="18"/>
              </w:rPr>
            </w:pPr>
            <w:r>
              <w:rPr>
                <w:rFonts w:hint="eastAsia" w:ascii="新宋体" w:hAnsi="新宋体" w:eastAsia="新宋体" w:cs="新宋体"/>
                <w:b/>
                <w:bCs/>
                <w:color w:val="000000"/>
                <w:sz w:val="18"/>
                <w:szCs w:val="18"/>
                <w:lang w:bidi="ar"/>
              </w:rPr>
              <w:t>单位</w:t>
            </w:r>
          </w:p>
        </w:tc>
        <w:tc>
          <w:tcPr>
            <w:tcW w:w="83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新宋体" w:hAnsi="新宋体" w:eastAsia="新宋体" w:cs="新宋体"/>
                <w:b/>
                <w:bCs/>
                <w:color w:val="000000"/>
                <w:sz w:val="18"/>
                <w:szCs w:val="18"/>
              </w:rPr>
            </w:pPr>
            <w:r>
              <w:rPr>
                <w:rFonts w:hint="eastAsia" w:ascii="新宋体" w:hAnsi="新宋体" w:eastAsia="新宋体" w:cs="新宋体"/>
                <w:b/>
                <w:bCs/>
                <w:color w:val="000000"/>
                <w:sz w:val="18"/>
                <w:szCs w:val="18"/>
                <w:lang w:bidi="ar"/>
              </w:rPr>
              <w:t>数量</w:t>
            </w:r>
          </w:p>
        </w:tc>
        <w:tc>
          <w:tcPr>
            <w:tcW w:w="92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新宋体" w:hAnsi="新宋体" w:eastAsia="新宋体" w:cs="新宋体"/>
                <w:b/>
                <w:bCs/>
                <w:color w:val="000000"/>
                <w:sz w:val="18"/>
                <w:szCs w:val="18"/>
              </w:rPr>
            </w:pPr>
            <w:r>
              <w:rPr>
                <w:rFonts w:hint="eastAsia" w:ascii="新宋体" w:hAnsi="新宋体" w:eastAsia="新宋体" w:cs="新宋体"/>
                <w:b/>
                <w:bCs/>
                <w:color w:val="000000"/>
                <w:sz w:val="18"/>
                <w:szCs w:val="18"/>
                <w:lang w:bidi="ar"/>
              </w:rPr>
              <w:t>备注</w:t>
            </w:r>
          </w:p>
        </w:tc>
      </w:tr>
      <w:tr>
        <w:tblPrEx>
          <w:tblCellMar>
            <w:top w:w="0" w:type="dxa"/>
            <w:left w:w="108" w:type="dxa"/>
            <w:bottom w:w="0" w:type="dxa"/>
            <w:right w:w="108" w:type="dxa"/>
          </w:tblCellMar>
        </w:tblPrEx>
        <w:trPr>
          <w:trHeight w:val="1384"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一卡通基础服务平台</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1、为一卡通各类应用系统提供相应服务，包括电子支付、聚合支付、访问控制、身份识别、转账充值、清分清算、消息处理等服务组件，支持分布式部署。平台支持卡码脸多种认证方式                                                            2、▲要求提供计算机软件著作权登记证书、第三方软件测评机构出具的软件产品登记测试报告。</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套</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1384"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2</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商务消费系统</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lang w:bidi="ar"/>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商务消费系统实现对食堂、超市、商户等场所使用的POS机进行统一管理。持卡人可使用卡在POS机上实现快速支付交易，要求系统可同时支持电子卡和人脸识别的应用。具体应用包括食堂餐饮、超市购物等各种费用的收取和结算。</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 xml:space="preserve">    系统应包含但不限于以下要求：</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系统支持实体卡、电子卡扫码支付和人脸识别支付。</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在使用电子卡支付时，POS机应支持联机、脱机交易使用功能。</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网络正常情况下，系统黑白名单等信息能够及时下发。</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支持实时同步信息，可根据身份设定消费范围。</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支持多种消费方式，支持价格定制，支持单项最高限额（单日和单次）。</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支持日、月、年、某一时段的报表处理，支持查询各食堂当餐、当天的收入情况，支持查询消费者当天、每月、每年的消费情况，支持查询就餐人数等情况。</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支持对POS机餐次、营业分组、消费级别等营业参数的设置。</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可以根据不同消费对象，设置不同优惠策略；包括但不限于交易钱包、优惠周期、营业时段、优惠模式（支持折扣定额、定额优惠、定额消费、免费等模式）、优惠额度、优惠限次、优惠次数及优惠限额。</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支持电子券的发送和核销。</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支持实时同步名单，下传到POS机。</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w:t>
            </w:r>
            <w:r>
              <w:rPr>
                <w:rFonts w:cs="宋体" w:asciiTheme="minorEastAsia" w:hAnsiTheme="minorEastAsia" w:eastAsiaTheme="minorEastAsia"/>
                <w:bCs/>
                <w:color w:val="000000"/>
              </w:rPr>
              <w:t>1</w:t>
            </w:r>
            <w:r>
              <w:rPr>
                <w:rFonts w:hint="eastAsia" w:cs="宋体" w:asciiTheme="minorEastAsia" w:hAnsiTheme="minorEastAsia" w:eastAsiaTheme="minorEastAsia"/>
                <w:bCs/>
                <w:color w:val="000000"/>
              </w:rPr>
              <w:t>)</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▲商务收费系统必须具有未来定制开发能力，同时为避免未来因知识产权引起纠纷，要求投标供应商提供商务收费系统具有计算机软件著作权登记证书及软件产品证书。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lang w:bidi="ar"/>
              </w:rPr>
            </w:pPr>
            <w:r>
              <w:rPr>
                <w:rFonts w:hint="eastAsia" w:ascii="新宋体" w:hAnsi="新宋体" w:eastAsia="新宋体" w:cs="新宋体"/>
                <w:color w:val="000000"/>
                <w:sz w:val="16"/>
                <w:szCs w:val="16"/>
                <w:lang w:bidi="ar"/>
              </w:rPr>
              <w:t>套</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lang w:bidi="ar"/>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9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3</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智付终端</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显示屏尺寸要求</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消费者端屏幕尺寸≥7英寸，分辨率≥1024*600，且支持电容触摸；</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结算端屏幕尺寸≥5英寸，分辨率≥ 854*480；</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操作员键盘为机械按键、密码键盘为触摸按键</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通讯方式支持RS-485，TCP/IP，可选GRRS，CDMA、4G全网通、Wifi</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▲考虑设备通信技术的快速迭代，通讯方式需要支持5G通讯；（提供检测报告复印件加盖投标人公章，原件备查）。</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可支持微信、支付宝、银联等原生支付码进行支付。</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可支持消费POS机存储10W的人脸身份信息。</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需具备3D结构光摄像头。</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单台脱机流水存储≥10万笔，黑白名单≥30万。</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支持数字人民币支付</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终端机具先授权后使用，以太网设备支持动态IP地址管理模式，动态IP地址管理模式时，使用规划的DHCP动态IP地址接入签到，减少网络IP地址管理的负担。</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支持能耗控制，通过光电人体感应实现自动节能管理</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支持POE供电功能，兼容802.3at和802.3af POE协议，终端采用板载一体化、标准化POE模块，带防雷功能，不能采用外置POE分离器模块的方式。</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支持断电数据保护。</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消费POS机具有脱网工作能力，网络恢复后能保证最新数据的一致性；有较大存储容量，黑白名单处理策略先进合理，能满足实际需求。</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消费POS机应用程序采用在线升级，维护升级简便。</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POS应带有四个以上PSAM卡槽，便于后续应用扩展。</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取得CQC认证（提供证书复印件加盖投标人公章，证书型号与产品对应）</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▲通过国家相关质量监督检验中心的盐雾、阻燃及全按键次数50万次检测（提供检测报告复印件加盖投标人公章）</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消费POS机备能够适应食堂潮湿、油腻且存在各类的干扰情况的环境，并通过各种环境模拟检测，取得检测报告，检测内容包含高温、低温、恒电湿热试验、震动试验、跌落、阻燃试验、盐雾试验、节能待机、电源端骚扰电压、辐射骚扰、静电放电抗扰度、电快速瞬变脉冲群抗扰度、浪涌（冲击）抗扰度等的测试内容。（提供检测报告复印件加盖投标人公章）</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台</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sz w:val="18"/>
                <w:szCs w:val="18"/>
                <w:lang w:bidi="ar"/>
              </w:rPr>
              <w:t>超市一台，备用一台</w:t>
            </w:r>
          </w:p>
        </w:tc>
      </w:tr>
      <w:tr>
        <w:tblPrEx>
          <w:tblCellMar>
            <w:top w:w="0" w:type="dxa"/>
            <w:left w:w="108" w:type="dxa"/>
            <w:bottom w:w="0" w:type="dxa"/>
            <w:right w:w="108" w:type="dxa"/>
          </w:tblCellMar>
        </w:tblPrEx>
        <w:trPr>
          <w:trHeight w:val="105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4</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读卡器</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 xml:space="preserve">1、支持13.56MHz非接触式卡片，符合ISO/IEC 14443A/B标准， 0.96英寸OLED屏显示，可显示卡号，持卡人身份、卡片余额等信息， 支持标准字库显示，通讯接口USB，支持1个符合IS07816标准卡尺寸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w:t>
            </w:r>
            <w:r>
              <w:rPr>
                <w:rFonts w:cs="宋体" w:asciiTheme="minorEastAsia" w:hAnsiTheme="minorEastAsia" w:eastAsiaTheme="minorEastAsia"/>
                <w:bCs/>
                <w:color w:val="000000"/>
              </w:rPr>
              <w:t>2</w:t>
            </w:r>
            <w:r>
              <w:rPr>
                <w:rFonts w:hint="eastAsia" w:cs="宋体" w:asciiTheme="minorEastAsia" w:hAnsiTheme="minorEastAsia" w:eastAsiaTheme="minorEastAsia"/>
                <w:bCs/>
                <w:color w:val="000000"/>
              </w:rPr>
              <w:t>、提供CQC产品认证证书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台</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169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5</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结算台</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 xml:space="preserve">1.可对进入结算台“结算区”的RFID餐盘进行快速、批量识别，就餐者自助完成支付结算；                                              2.内置结算软件，具有收银、餐盘管理和营业统计的功能；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3.客显屏不低于12.1寸，分辨率1024*768；                              4.辅屏为不低于15寸的电容屏，分辨率1024*768；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5.识别距离＜15cm；                                                           6.识别时间＜1秒；                                                            7.群识性能能达20个                                                                                                8.硬盘存储不低于128GB；                                                    9.内存存储不低于4GB；                                                          10.进入“结算区”后，系统自动识别、核算整单菜价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11.整机尺寸 1500mm（长）×700mm（宽）×750-950（高）mm     </w:t>
            </w:r>
          </w:p>
          <w:p>
            <w:pPr>
              <w:pStyle w:val="24"/>
              <w:ind w:firstLine="0"/>
              <w:rPr>
                <w:rFonts w:asciiTheme="minorEastAsia" w:hAnsiTheme="minorEastAsia" w:eastAsiaTheme="minorEastAsia"/>
                <w:bCs/>
                <w:color w:val="000000"/>
                <w:sz w:val="20"/>
                <w:szCs w:val="20"/>
              </w:rPr>
            </w:pPr>
            <w:r>
              <w:rPr>
                <w:rFonts w:asciiTheme="minorEastAsia" w:hAnsiTheme="minorEastAsia" w:eastAsiaTheme="minorEastAsia"/>
                <w:bCs/>
                <w:color w:val="000000"/>
                <w:sz w:val="20"/>
                <w:szCs w:val="20"/>
              </w:rPr>
              <w:t>12</w:t>
            </w:r>
            <w:r>
              <w:rPr>
                <w:rFonts w:hint="eastAsia" w:asciiTheme="minorEastAsia" w:hAnsiTheme="minorEastAsia" w:eastAsiaTheme="minorEastAsia"/>
                <w:bCs/>
                <w:color w:val="000000"/>
                <w:sz w:val="20"/>
                <w:szCs w:val="20"/>
              </w:rPr>
              <w:t>、需要在同一台设备上支持卡、码、脸认证方式</w:t>
            </w:r>
          </w:p>
          <w:p>
            <w:pPr>
              <w:pStyle w:val="24"/>
              <w:ind w:firstLine="0"/>
              <w:rPr>
                <w:rFonts w:asciiTheme="minorEastAsia" w:hAnsiTheme="minorEastAsia" w:eastAsiaTheme="minorEastAsia"/>
                <w:bCs/>
                <w:color w:val="000000"/>
                <w:sz w:val="20"/>
                <w:szCs w:val="20"/>
              </w:rPr>
            </w:pPr>
            <w:r>
              <w:rPr>
                <w:rFonts w:hint="eastAsia" w:asciiTheme="minorEastAsia" w:hAnsiTheme="minorEastAsia" w:eastAsiaTheme="minorEastAsia"/>
                <w:bCs/>
                <w:color w:val="000000"/>
                <w:sz w:val="20"/>
                <w:szCs w:val="20"/>
              </w:rPr>
              <w:t>1</w:t>
            </w:r>
            <w:r>
              <w:rPr>
                <w:rFonts w:asciiTheme="minorEastAsia" w:hAnsiTheme="minorEastAsia" w:eastAsiaTheme="minorEastAsia"/>
                <w:bCs/>
                <w:color w:val="000000"/>
                <w:sz w:val="20"/>
                <w:szCs w:val="20"/>
              </w:rPr>
              <w:t>3</w:t>
            </w:r>
            <w:r>
              <w:rPr>
                <w:rFonts w:hint="eastAsia" w:asciiTheme="minorEastAsia" w:hAnsiTheme="minorEastAsia" w:eastAsiaTheme="minorEastAsia"/>
                <w:bCs/>
                <w:color w:val="000000"/>
                <w:sz w:val="20"/>
                <w:szCs w:val="20"/>
              </w:rPr>
              <w:t>、提供硬件检测报告</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w:t>
            </w:r>
            <w:r>
              <w:rPr>
                <w:rFonts w:cs="宋体" w:asciiTheme="minorEastAsia" w:hAnsiTheme="minorEastAsia" w:eastAsiaTheme="minorEastAsia"/>
                <w:bCs/>
                <w:color w:val="000000"/>
              </w:rPr>
              <w:t>4</w:t>
            </w:r>
            <w:r>
              <w:rPr>
                <w:rFonts w:hint="eastAsia" w:cs="宋体" w:asciiTheme="minorEastAsia" w:hAnsiTheme="minorEastAsia" w:eastAsiaTheme="minorEastAsia"/>
                <w:bCs/>
                <w:color w:val="000000"/>
              </w:rPr>
              <w:t>、提供软件著作权登记证书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套</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sz w:val="18"/>
                <w:szCs w:val="18"/>
                <w:lang w:bidi="ar"/>
              </w:rPr>
              <w:t>含人脸刷卡终端</w:t>
            </w:r>
          </w:p>
        </w:tc>
      </w:tr>
      <w:tr>
        <w:tblPrEx>
          <w:tblCellMar>
            <w:top w:w="0" w:type="dxa"/>
            <w:left w:w="108" w:type="dxa"/>
            <w:bottom w:w="0" w:type="dxa"/>
            <w:right w:w="108" w:type="dxa"/>
          </w:tblCellMar>
        </w:tblPrEx>
        <w:trPr>
          <w:trHeight w:val="168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6</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正元IC卡</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 xml:space="preserve">1、容量为8K位EEPROM；分为16个扇区，每个扇区为4块，每块16个字节,每个扇区有独立的一组密码及访问控制；每张卡有唯一序列号，为32位；具有防冲突机制，数据保存期为10年，可改写10万次，读无限次；工作温度：-20℃~50℃(湿度为90%)；工作频率：13.56MHZ；通信速率：106KBPS；读写距离2.5-10cm              </w:t>
            </w:r>
            <w:r>
              <w:rPr>
                <w:rFonts w:cs="宋体" w:asciiTheme="minorEastAsia" w:hAnsiTheme="minorEastAsia" w:eastAsiaTheme="minorEastAsia"/>
                <w:color w:val="000000"/>
              </w:rPr>
              <w:t xml:space="preserve">   </w:t>
            </w:r>
            <w:r>
              <w:rPr>
                <w:rFonts w:hint="eastAsia" w:cs="宋体" w:asciiTheme="minorEastAsia" w:hAnsiTheme="minorEastAsia" w:eastAsiaTheme="minorEastAsia"/>
                <w:color w:val="000000"/>
              </w:rPr>
              <w:t xml:space="preserve">  ▲2、提供C卡嵌入式软件（卡片操作系统）的软件著作权登记证书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张</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200</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202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7</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智通终端</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支持13.56MHz非接触式卡片，符合ISO/ICE 14443A/B标准</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屏幕尺寸要求≥8英寸，分辨率≥800*1280；支持电容触摸，可在设备进行相关功能设置</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要求配置双目高清摄像头，支持红外和RGB输出；</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要求采用无补光灯设计（提供第三方权威机构检测报告）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要求支持活体检测功能，有效防御照片、电子屏、视频等活体攻击（提供第三方权威机构检测报告）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要求设备终端可存储人脸特征码数量≥10万（提供第三方权威机构检测报告）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人脸识别距离需支持0.5m-2.0m（提供第三方权威机构检测报告）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人脸识别功能需要支持光线亮度不足情况下（环境照度≤0.1lux），能正常识别（提供第三方权威机构检测报告）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要求人脸识别响核验响应速度≤300ms（提供第三方权威机构检测报告）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识别通过率要求：选定误识别率为≤0.3%时为测试阈值，识别通过率应≥98%（提供第三方权威机构检测报告）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要求支持遮挡功能，设备戴口罩识别的错误接受率FAR小于5%情况下，错误拒绝率FRR应小于2%，在戴墨镜、戴帽子、蓄须等遮挡情况下依然保持精准识别（提供第三方权威机构检测报告）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要求设备外壳对外界机械碰撞的防护等级防护等级达到IK07（提供第三方权威机构检测报告）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要求支持设备强拆、强制开门、非活体攻击等异常报警（提供第三方权威机构检测报告）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身份认证后，支持真人语音提示</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通讯接口要求支持TCP/IP、RS-485、韦根、RS232；支持WIFI及BLE蓝牙</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可支持在室内或半室外的环境下使用；防水等级≥IP66（提供第三方权威机构检测报告）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支持干节点信号输出，即可作为读卡器，也可作为一体机使用</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支持U盘升级固件程序、数据下载、记录采集</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设备离线情况下，可支持脱机使用，可存储的脱机记的数量≥20万</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▲通过CCC认证（提供产品认证证书复印件加盖投标人公章）</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(21)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▲取得中国节能产品认证报告（提供检测报告复印件加盖投标人公章）</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台</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sz w:val="18"/>
                <w:szCs w:val="18"/>
                <w:lang w:bidi="ar"/>
              </w:rPr>
              <w:t>人脸采集设备，含支架</w:t>
            </w:r>
          </w:p>
        </w:tc>
      </w:tr>
      <w:tr>
        <w:tblPrEx>
          <w:tblCellMar>
            <w:top w:w="0" w:type="dxa"/>
            <w:left w:w="108" w:type="dxa"/>
            <w:bottom w:w="0" w:type="dxa"/>
            <w:right w:w="108" w:type="dxa"/>
          </w:tblCellMar>
        </w:tblPrEx>
        <w:trPr>
          <w:trHeight w:val="147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8</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餐具</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c>
          <w:tcPr>
            <w:tcW w:w="37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1、成份：三聚氰胺甲醛树脂，纤维素</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2、耐温：120度</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3、产品符ISO/IEC 15693及ISO/IEC 18000-3 国际标准</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4、产品通过耐高温，耐清洗和耐碰撞</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个</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1400</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225" w:hRule="atLeast"/>
        </w:trPr>
        <w:tc>
          <w:tcPr>
            <w:tcW w:w="5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9</w:t>
            </w:r>
          </w:p>
        </w:tc>
        <w:tc>
          <w:tcPr>
            <w:tcW w:w="110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托盘</w:t>
            </w:r>
          </w:p>
        </w:tc>
        <w:tc>
          <w:tcPr>
            <w:tcW w:w="981"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P</w:t>
            </w:r>
            <w:r>
              <w:rPr>
                <w:rFonts w:cs="宋体" w:asciiTheme="minorEastAsia" w:hAnsiTheme="minorEastAsia" w:eastAsiaTheme="minorEastAsia"/>
                <w:color w:val="000000"/>
              </w:rPr>
              <w:t>P</w:t>
            </w:r>
            <w:r>
              <w:rPr>
                <w:rFonts w:hint="eastAsia" w:cs="宋体" w:asciiTheme="minorEastAsia" w:hAnsiTheme="minorEastAsia" w:eastAsiaTheme="minorEastAsia"/>
                <w:color w:val="000000"/>
              </w:rPr>
              <w:t>材质</w:t>
            </w:r>
          </w:p>
        </w:tc>
        <w:tc>
          <w:tcPr>
            <w:tcW w:w="107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个</w:t>
            </w:r>
          </w:p>
        </w:tc>
        <w:tc>
          <w:tcPr>
            <w:tcW w:w="83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200</w:t>
            </w:r>
          </w:p>
        </w:tc>
        <w:tc>
          <w:tcPr>
            <w:tcW w:w="926" w:type="dxa"/>
            <w:tcBorders>
              <w:top w:val="single" w:color="auto"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225" w:hRule="atLeast"/>
        </w:trPr>
        <w:tc>
          <w:tcPr>
            <w:tcW w:w="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10</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系统集成费</w:t>
            </w:r>
          </w:p>
        </w:tc>
        <w:tc>
          <w:tcPr>
            <w:tcW w:w="9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9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项</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color w:val="000000"/>
                <w:sz w:val="18"/>
                <w:szCs w:val="18"/>
              </w:rPr>
            </w:pPr>
          </w:p>
        </w:tc>
      </w:tr>
    </w:tbl>
    <w:p>
      <w:pPr>
        <w:pStyle w:val="24"/>
      </w:pPr>
    </w:p>
    <w:p>
      <w:pPr>
        <w:pStyle w:val="24"/>
      </w:pPr>
      <w:r>
        <w:rPr>
          <w:rFonts w:hint="eastAsia"/>
          <w:b/>
          <w:bCs/>
          <w:color w:val="000000"/>
          <w:sz w:val="21"/>
          <w:szCs w:val="21"/>
          <w:lang w:bidi="ar"/>
        </w:rPr>
        <w:t xml:space="preserve">（2）厨房设备清单 </w:t>
      </w:r>
    </w:p>
    <w:tbl>
      <w:tblPr>
        <w:tblStyle w:val="26"/>
        <w:tblW w:w="9277" w:type="dxa"/>
        <w:tblInd w:w="-291" w:type="dxa"/>
        <w:tblLayout w:type="fixed"/>
        <w:tblCellMar>
          <w:top w:w="0" w:type="dxa"/>
          <w:left w:w="108" w:type="dxa"/>
          <w:bottom w:w="0" w:type="dxa"/>
          <w:right w:w="108" w:type="dxa"/>
        </w:tblCellMar>
      </w:tblPr>
      <w:tblGrid>
        <w:gridCol w:w="1705"/>
        <w:gridCol w:w="3694"/>
        <w:gridCol w:w="656"/>
        <w:gridCol w:w="903"/>
        <w:gridCol w:w="2319"/>
      </w:tblGrid>
      <w:tr>
        <w:tblPrEx>
          <w:tblCellMar>
            <w:top w:w="0" w:type="dxa"/>
            <w:left w:w="108" w:type="dxa"/>
            <w:bottom w:w="0" w:type="dxa"/>
            <w:right w:w="108" w:type="dxa"/>
          </w:tblCellMar>
        </w:tblPrEx>
        <w:trPr>
          <w:trHeight w:val="74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位置</w:t>
            </w:r>
          </w:p>
        </w:tc>
        <w:tc>
          <w:tcPr>
            <w:tcW w:w="3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内容</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单位</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数量</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图片</w:t>
            </w: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粗加工</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电热开水器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0288" behindDoc="0" locked="0" layoutInCell="1" allowOverlap="1">
                  <wp:simplePos x="0" y="0"/>
                  <wp:positionH relativeFrom="column">
                    <wp:posOffset>403225</wp:posOffset>
                  </wp:positionH>
                  <wp:positionV relativeFrom="paragraph">
                    <wp:posOffset>144145</wp:posOffset>
                  </wp:positionV>
                  <wp:extent cx="495300" cy="652145"/>
                  <wp:effectExtent l="0" t="0" r="0" b="14605"/>
                  <wp:wrapNone/>
                  <wp:docPr id="40" name="Picture_55"/>
                  <wp:cNvGraphicFramePr/>
                  <a:graphic xmlns:a="http://schemas.openxmlformats.org/drawingml/2006/main">
                    <a:graphicData uri="http://schemas.openxmlformats.org/drawingml/2006/picture">
                      <pic:pic xmlns:pic="http://schemas.openxmlformats.org/drawingml/2006/picture">
                        <pic:nvPicPr>
                          <pic:cNvPr id="40" name="Picture_55"/>
                          <pic:cNvPicPr/>
                        </pic:nvPicPr>
                        <pic:blipFill>
                          <a:blip r:embed="rId8"/>
                          <a:stretch>
                            <a:fillRect/>
                          </a:stretch>
                        </pic:blipFill>
                        <pic:spPr>
                          <a:xfrm>
                            <a:off x="0" y="0"/>
                            <a:ext cx="495300" cy="6521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产地品牌（参照或相当于）：中亚、腾飞、亮见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380V/9KW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SIZE：60L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残菜回收台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1312" behindDoc="0" locked="0" layoutInCell="1" allowOverlap="1">
                  <wp:simplePos x="0" y="0"/>
                  <wp:positionH relativeFrom="column">
                    <wp:posOffset>220980</wp:posOffset>
                  </wp:positionH>
                  <wp:positionV relativeFrom="paragraph">
                    <wp:posOffset>625475</wp:posOffset>
                  </wp:positionV>
                  <wp:extent cx="820420" cy="843280"/>
                  <wp:effectExtent l="0" t="0" r="17780" b="13970"/>
                  <wp:wrapNone/>
                  <wp:docPr id="41" name="图片_2793"/>
                  <wp:cNvGraphicFramePr/>
                  <a:graphic xmlns:a="http://schemas.openxmlformats.org/drawingml/2006/main">
                    <a:graphicData uri="http://schemas.openxmlformats.org/drawingml/2006/picture">
                      <pic:pic xmlns:pic="http://schemas.openxmlformats.org/drawingml/2006/picture">
                        <pic:nvPicPr>
                          <pic:cNvPr id="41" name="图片_2793"/>
                          <pic:cNvPicPr/>
                        </pic:nvPicPr>
                        <pic:blipFill>
                          <a:blip r:embed="rId9"/>
                          <a:stretch>
                            <a:fillRect/>
                          </a:stretch>
                        </pic:blipFill>
                        <pic:spPr>
                          <a:xfrm>
                            <a:off x="0" y="0"/>
                            <a:ext cx="820420" cy="8432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台板厚度为1.2mm，侧板厚0.8mm不锈钢制造</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圆角模压成型，不锈钢加强档</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φ38mm不锈钢圆通腿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2336" behindDoc="0" locked="0" layoutInCell="1" allowOverlap="1">
                  <wp:simplePos x="0" y="0"/>
                  <wp:positionH relativeFrom="column">
                    <wp:posOffset>294005</wp:posOffset>
                  </wp:positionH>
                  <wp:positionV relativeFrom="paragraph">
                    <wp:posOffset>462280</wp:posOffset>
                  </wp:positionV>
                  <wp:extent cx="774700" cy="909320"/>
                  <wp:effectExtent l="0" t="0" r="6350" b="5080"/>
                  <wp:wrapNone/>
                  <wp:docPr id="42" name="Picture_1090"/>
                  <wp:cNvGraphicFramePr/>
                  <a:graphic xmlns:a="http://schemas.openxmlformats.org/drawingml/2006/main">
                    <a:graphicData uri="http://schemas.openxmlformats.org/drawingml/2006/picture">
                      <pic:pic xmlns:pic="http://schemas.openxmlformats.org/drawingml/2006/picture">
                        <pic:nvPicPr>
                          <pic:cNvPr id="42" name="Picture_1090"/>
                          <pic:cNvPicPr/>
                        </pic:nvPicPr>
                        <pic:blipFill>
                          <a:blip r:embed="rId10"/>
                          <a:stretch>
                            <a:fillRect/>
                          </a:stretch>
                        </pic:blipFill>
                        <pic:spPr>
                          <a:xfrm>
                            <a:off x="0" y="0"/>
                            <a:ext cx="774700" cy="9093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规格：700×700×800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3360" behindDoc="0" locked="0" layoutInCell="1" allowOverlap="1">
                  <wp:simplePos x="0" y="0"/>
                  <wp:positionH relativeFrom="column">
                    <wp:posOffset>3672840</wp:posOffset>
                  </wp:positionH>
                  <wp:positionV relativeFrom="paragraph">
                    <wp:posOffset>44450</wp:posOffset>
                  </wp:positionV>
                  <wp:extent cx="791210" cy="1071245"/>
                  <wp:effectExtent l="0" t="0" r="8890" b="14605"/>
                  <wp:wrapNone/>
                  <wp:docPr id="43" name="图片_2"/>
                  <wp:cNvGraphicFramePr/>
                  <a:graphic xmlns:a="http://schemas.openxmlformats.org/drawingml/2006/main">
                    <a:graphicData uri="http://schemas.openxmlformats.org/drawingml/2006/picture">
                      <pic:pic xmlns:pic="http://schemas.openxmlformats.org/drawingml/2006/picture">
                        <pic:nvPicPr>
                          <pic:cNvPr id="43" name="图片_2"/>
                          <pic:cNvPicPr/>
                        </pic:nvPicPr>
                        <pic:blipFill>
                          <a:blip r:embed="rId11"/>
                          <a:stretch>
                            <a:fillRect/>
                          </a:stretch>
                        </pic:blipFill>
                        <pic:spPr>
                          <a:xfrm>
                            <a:off x="0" y="0"/>
                            <a:ext cx="791210" cy="1071245"/>
                          </a:xfrm>
                          <a:prstGeom prst="rect">
                            <a:avLst/>
                          </a:prstGeom>
                          <a:noFill/>
                          <a:ln>
                            <a:noFill/>
                          </a:ln>
                        </pic:spPr>
                      </pic:pic>
                    </a:graphicData>
                  </a:graphic>
                </wp:anchor>
              </w:drawing>
            </w: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规格：1500×700×800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3</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4384" behindDoc="0" locked="0" layoutInCell="1" allowOverlap="1">
                  <wp:simplePos x="0" y="0"/>
                  <wp:positionH relativeFrom="column">
                    <wp:posOffset>453390</wp:posOffset>
                  </wp:positionH>
                  <wp:positionV relativeFrom="paragraph">
                    <wp:posOffset>185420</wp:posOffset>
                  </wp:positionV>
                  <wp:extent cx="441960" cy="560070"/>
                  <wp:effectExtent l="0" t="0" r="15240" b="11430"/>
                  <wp:wrapNone/>
                  <wp:docPr id="44" name="图片_11"/>
                  <wp:cNvGraphicFramePr/>
                  <a:graphic xmlns:a="http://schemas.openxmlformats.org/drawingml/2006/main">
                    <a:graphicData uri="http://schemas.openxmlformats.org/drawingml/2006/picture">
                      <pic:pic xmlns:pic="http://schemas.openxmlformats.org/drawingml/2006/picture">
                        <pic:nvPicPr>
                          <pic:cNvPr id="44" name="图片_11"/>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洗地龙头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5408" behindDoc="0" locked="0" layoutInCell="1" allowOverlap="1">
                  <wp:simplePos x="0" y="0"/>
                  <wp:positionH relativeFrom="column">
                    <wp:posOffset>358775</wp:posOffset>
                  </wp:positionH>
                  <wp:positionV relativeFrom="paragraph">
                    <wp:posOffset>119380</wp:posOffset>
                  </wp:positionV>
                  <wp:extent cx="621030" cy="452120"/>
                  <wp:effectExtent l="0" t="0" r="7620" b="5080"/>
                  <wp:wrapNone/>
                  <wp:docPr id="45" name="图片_2856"/>
                  <wp:cNvGraphicFramePr/>
                  <a:graphic xmlns:a="http://schemas.openxmlformats.org/drawingml/2006/main">
                    <a:graphicData uri="http://schemas.openxmlformats.org/drawingml/2006/picture">
                      <pic:pic xmlns:pic="http://schemas.openxmlformats.org/drawingml/2006/picture">
                        <pic:nvPicPr>
                          <pic:cNvPr id="45" name="图片_2856"/>
                          <pic:cNvPicPr/>
                        </pic:nvPicPr>
                        <pic:blipFill>
                          <a:blip r:embed="rId13"/>
                          <a:stretch>
                            <a:fillRect/>
                          </a:stretch>
                        </pic:blipFill>
                        <pic:spPr>
                          <a:xfrm>
                            <a:off x="0" y="0"/>
                            <a:ext cx="621030" cy="452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产地品牌（参照或相当于）：厨镖、佑飞、天仕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规格：10-12M</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电热水器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产地品牌（参照或相当于）：樱花、海尔、美的</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规格：80L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面点间</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6432" behindDoc="0" locked="0" layoutInCell="1" allowOverlap="1">
                  <wp:simplePos x="0" y="0"/>
                  <wp:positionH relativeFrom="column">
                    <wp:posOffset>215900</wp:posOffset>
                  </wp:positionH>
                  <wp:positionV relativeFrom="paragraph">
                    <wp:posOffset>273050</wp:posOffset>
                  </wp:positionV>
                  <wp:extent cx="774700" cy="1391920"/>
                  <wp:effectExtent l="0" t="0" r="6350" b="17780"/>
                  <wp:wrapNone/>
                  <wp:docPr id="46" name="Picture_1090_SpCnt_1"/>
                  <wp:cNvGraphicFramePr/>
                  <a:graphic xmlns:a="http://schemas.openxmlformats.org/drawingml/2006/main">
                    <a:graphicData uri="http://schemas.openxmlformats.org/drawingml/2006/picture">
                      <pic:pic xmlns:pic="http://schemas.openxmlformats.org/drawingml/2006/picture">
                        <pic:nvPicPr>
                          <pic:cNvPr id="46" name="Picture_1090_SpCnt_1"/>
                          <pic:cNvPicPr/>
                        </pic:nvPicPr>
                        <pic:blipFill>
                          <a:blip r:embed="rId14"/>
                          <a:stretch>
                            <a:fillRect/>
                          </a:stretch>
                        </pic:blipFill>
                        <pic:spPr>
                          <a:xfrm>
                            <a:off x="0" y="0"/>
                            <a:ext cx="774700" cy="13919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规格：580×600×800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7456" behindDoc="0" locked="0" layoutInCell="1" allowOverlap="1">
                  <wp:simplePos x="0" y="0"/>
                  <wp:positionH relativeFrom="column">
                    <wp:posOffset>323215</wp:posOffset>
                  </wp:positionH>
                  <wp:positionV relativeFrom="paragraph">
                    <wp:posOffset>56515</wp:posOffset>
                  </wp:positionV>
                  <wp:extent cx="441960" cy="560070"/>
                  <wp:effectExtent l="0" t="0" r="15240" b="11430"/>
                  <wp:wrapNone/>
                  <wp:docPr id="47" name="图片_28"/>
                  <wp:cNvGraphicFramePr/>
                  <a:graphic xmlns:a="http://schemas.openxmlformats.org/drawingml/2006/main">
                    <a:graphicData uri="http://schemas.openxmlformats.org/drawingml/2006/picture">
                      <pic:pic xmlns:pic="http://schemas.openxmlformats.org/drawingml/2006/picture">
                        <pic:nvPicPr>
                          <pic:cNvPr id="47" name="图片_28"/>
                          <pic:cNvPicPr/>
                        </pic:nvPicPr>
                        <pic:blipFill>
                          <a:blip r:embed="rId15"/>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热厨区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调料平台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8480" behindDoc="0" locked="0" layoutInCell="1" allowOverlap="1">
                  <wp:simplePos x="0" y="0"/>
                  <wp:positionH relativeFrom="column">
                    <wp:posOffset>331470</wp:posOffset>
                  </wp:positionH>
                  <wp:positionV relativeFrom="paragraph">
                    <wp:posOffset>56515</wp:posOffset>
                  </wp:positionV>
                  <wp:extent cx="721360" cy="1031240"/>
                  <wp:effectExtent l="0" t="0" r="2540" b="16510"/>
                  <wp:wrapNone/>
                  <wp:docPr id="48" name="Picture_1781"/>
                  <wp:cNvGraphicFramePr/>
                  <a:graphic xmlns:a="http://schemas.openxmlformats.org/drawingml/2006/main">
                    <a:graphicData uri="http://schemas.openxmlformats.org/drawingml/2006/picture">
                      <pic:pic xmlns:pic="http://schemas.openxmlformats.org/drawingml/2006/picture">
                        <pic:nvPicPr>
                          <pic:cNvPr id="48" name="Picture_1781"/>
                          <pic:cNvPicPr/>
                        </pic:nvPicPr>
                        <pic:blipFill>
                          <a:blip r:embed="rId16"/>
                          <a:stretch>
                            <a:fillRect/>
                          </a:stretch>
                        </pic:blipFill>
                        <pic:spPr>
                          <a:xfrm>
                            <a:off x="0" y="0"/>
                            <a:ext cx="721360" cy="10312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说明：骨架采用Φ38不锈钢管搭制，加强筋，</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调料水池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9504" behindDoc="0" locked="0" layoutInCell="1" allowOverlap="1">
                  <wp:simplePos x="0" y="0"/>
                  <wp:positionH relativeFrom="column">
                    <wp:posOffset>299720</wp:posOffset>
                  </wp:positionH>
                  <wp:positionV relativeFrom="paragraph">
                    <wp:posOffset>481330</wp:posOffset>
                  </wp:positionV>
                  <wp:extent cx="673100" cy="908050"/>
                  <wp:effectExtent l="0" t="0" r="12700" b="6350"/>
                  <wp:wrapNone/>
                  <wp:docPr id="49" name="图片_25"/>
                  <wp:cNvGraphicFramePr/>
                  <a:graphic xmlns:a="http://schemas.openxmlformats.org/drawingml/2006/main">
                    <a:graphicData uri="http://schemas.openxmlformats.org/drawingml/2006/picture">
                      <pic:pic xmlns:pic="http://schemas.openxmlformats.org/drawingml/2006/picture">
                        <pic:nvPicPr>
                          <pic:cNvPr id="49" name="图片_25"/>
                          <pic:cNvPicPr/>
                        </pic:nvPicPr>
                        <pic:blipFill>
                          <a:blip r:embed="rId17"/>
                          <a:stretch>
                            <a:fillRect/>
                          </a:stretch>
                        </pic:blipFill>
                        <pic:spPr>
                          <a:xfrm>
                            <a:off x="0" y="0"/>
                            <a:ext cx="673100" cy="9080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燃气双眼炒灶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0528" behindDoc="0" locked="0" layoutInCell="1" allowOverlap="1">
                  <wp:simplePos x="0" y="0"/>
                  <wp:positionH relativeFrom="column">
                    <wp:posOffset>173355</wp:posOffset>
                  </wp:positionH>
                  <wp:positionV relativeFrom="paragraph">
                    <wp:posOffset>264160</wp:posOffset>
                  </wp:positionV>
                  <wp:extent cx="917575" cy="647700"/>
                  <wp:effectExtent l="0" t="0" r="15875" b="0"/>
                  <wp:wrapNone/>
                  <wp:docPr id="50" name="图片_14"/>
                  <wp:cNvGraphicFramePr/>
                  <a:graphic xmlns:a="http://schemas.openxmlformats.org/drawingml/2006/main">
                    <a:graphicData uri="http://schemas.openxmlformats.org/drawingml/2006/picture">
                      <pic:pic xmlns:pic="http://schemas.openxmlformats.org/drawingml/2006/picture">
                        <pic:nvPicPr>
                          <pic:cNvPr id="50" name="图片_14"/>
                          <pic:cNvPicPr/>
                        </pic:nvPicPr>
                        <pic:blipFill>
                          <a:blip r:embed="rId18"/>
                          <a:stretch>
                            <a:fillRect/>
                          </a:stretch>
                        </pic:blipFill>
                        <pic:spPr>
                          <a:xfrm>
                            <a:off x="0" y="0"/>
                            <a:ext cx="917575" cy="6477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选用优质不锈钢板制作，厚度1.0mm,不锈钢条缝燃烧机、双层合金炉膛、不锈钢25X38灶架</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规格：1800×1000×800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燃气双眼煲灶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1552" behindDoc="0" locked="0" layoutInCell="1" allowOverlap="1">
                  <wp:simplePos x="0" y="0"/>
                  <wp:positionH relativeFrom="column">
                    <wp:posOffset>212090</wp:posOffset>
                  </wp:positionH>
                  <wp:positionV relativeFrom="paragraph">
                    <wp:posOffset>678815</wp:posOffset>
                  </wp:positionV>
                  <wp:extent cx="898525" cy="847090"/>
                  <wp:effectExtent l="0" t="0" r="15875" b="10160"/>
                  <wp:wrapNone/>
                  <wp:docPr id="51" name="图片_2829"/>
                  <wp:cNvGraphicFramePr/>
                  <a:graphic xmlns:a="http://schemas.openxmlformats.org/drawingml/2006/main">
                    <a:graphicData uri="http://schemas.openxmlformats.org/drawingml/2006/picture">
                      <pic:pic xmlns:pic="http://schemas.openxmlformats.org/drawingml/2006/picture">
                        <pic:nvPicPr>
                          <pic:cNvPr id="51" name="图片_2829"/>
                          <pic:cNvPicPr/>
                        </pic:nvPicPr>
                        <pic:blipFill>
                          <a:blip r:embed="rId19"/>
                          <a:stretch>
                            <a:fillRect/>
                          </a:stretch>
                        </pic:blipFill>
                        <pic:spPr>
                          <a:xfrm>
                            <a:off x="0" y="0"/>
                            <a:ext cx="898525" cy="8470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9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采用优质不锈钢板制造</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炉面采用冲压面板，板厚1.0mm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开关板、后挡板厚0.8mm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炉底部分用3mm厚铁板</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主体骨架用40×40×3.5角铁</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不锈钢脚，可调炉脚                                                燃气旺火型 ,配文华炉头.底托盘采用不锈钢板制作。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规格：400×1000×800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单门蒸饭箱</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w:t>
            </w:r>
            <w:r>
              <w:rPr>
                <w:rFonts w:hint="eastAsia" w:ascii="宋体" w:hAnsi="宋体" w:cs="宋体"/>
                <w:color w:val="000000"/>
                <w:sz w:val="22"/>
                <w:szCs w:val="22"/>
                <w:bdr w:val="single" w:color="000000" w:sz="4" w:space="0"/>
                <w:lang w:bidi="ar"/>
              </w:rPr>
              <w:drawing>
                <wp:anchor distT="0" distB="0" distL="114300" distR="114300" simplePos="0" relativeHeight="251672576" behindDoc="0" locked="0" layoutInCell="1" allowOverlap="1">
                  <wp:simplePos x="0" y="0"/>
                  <wp:positionH relativeFrom="column">
                    <wp:posOffset>3723005</wp:posOffset>
                  </wp:positionH>
                  <wp:positionV relativeFrom="paragraph">
                    <wp:posOffset>70485</wp:posOffset>
                  </wp:positionV>
                  <wp:extent cx="579120" cy="876935"/>
                  <wp:effectExtent l="0" t="0" r="11430" b="18415"/>
                  <wp:wrapNone/>
                  <wp:docPr id="52" name="图片_16"/>
                  <wp:cNvGraphicFramePr/>
                  <a:graphic xmlns:a="http://schemas.openxmlformats.org/drawingml/2006/main">
                    <a:graphicData uri="http://schemas.openxmlformats.org/drawingml/2006/picture">
                      <pic:pic xmlns:pic="http://schemas.openxmlformats.org/drawingml/2006/picture">
                        <pic:nvPicPr>
                          <pic:cNvPr id="52" name="图片_16"/>
                          <pic:cNvPicPr/>
                        </pic:nvPicPr>
                        <pic:blipFill>
                          <a:blip r:embed="rId20"/>
                          <a:stretch>
                            <a:fillRect/>
                          </a:stretch>
                        </pic:blipFill>
                        <pic:spPr>
                          <a:xfrm>
                            <a:off x="0" y="0"/>
                            <a:ext cx="579120" cy="876935"/>
                          </a:xfrm>
                          <a:prstGeom prst="rect">
                            <a:avLst/>
                          </a:prstGeom>
                          <a:noFill/>
                          <a:ln>
                            <a:noFill/>
                          </a:ln>
                        </pic:spPr>
                      </pic:pic>
                    </a:graphicData>
                  </a:graphic>
                </wp:anchor>
              </w:drawing>
            </w:r>
            <w:r>
              <w:rPr>
                <w:rFonts w:hint="eastAsia" w:ascii="宋体" w:hAnsi="宋体" w:cs="宋体"/>
                <w:color w:val="000000"/>
                <w:sz w:val="22"/>
                <w:szCs w:val="22"/>
                <w:lang w:bidi="ar"/>
              </w:rPr>
              <w:t>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内板采用1.0㎜,外板0.8㎜不锈钢板制作.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说明：功率：12KW/380V</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规格：50Kg</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规格：1500×800×800</w:t>
            </w:r>
          </w:p>
        </w:tc>
        <w:tc>
          <w:tcPr>
            <w:tcW w:w="656"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3600" behindDoc="0" locked="0" layoutInCell="1" allowOverlap="1">
                  <wp:simplePos x="0" y="0"/>
                  <wp:positionH relativeFrom="column">
                    <wp:posOffset>234950</wp:posOffset>
                  </wp:positionH>
                  <wp:positionV relativeFrom="paragraph">
                    <wp:posOffset>5715</wp:posOffset>
                  </wp:positionV>
                  <wp:extent cx="906145" cy="603885"/>
                  <wp:effectExtent l="0" t="0" r="8255" b="5715"/>
                  <wp:wrapNone/>
                  <wp:docPr id="53" name="图片_18"/>
                  <wp:cNvGraphicFramePr/>
                  <a:graphic xmlns:a="http://schemas.openxmlformats.org/drawingml/2006/main">
                    <a:graphicData uri="http://schemas.openxmlformats.org/drawingml/2006/picture">
                      <pic:pic xmlns:pic="http://schemas.openxmlformats.org/drawingml/2006/picture">
                        <pic:nvPicPr>
                          <pic:cNvPr id="53" name="图片_18"/>
                          <pic:cNvPicPr/>
                        </pic:nvPicPr>
                        <pic:blipFill>
                          <a:blip r:embed="rId21"/>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规格：1500×700×800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刀具消毒柜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2032" behindDoc="0" locked="0" layoutInCell="1" allowOverlap="1">
                  <wp:simplePos x="0" y="0"/>
                  <wp:positionH relativeFrom="column">
                    <wp:posOffset>377825</wp:posOffset>
                  </wp:positionH>
                  <wp:positionV relativeFrom="paragraph">
                    <wp:posOffset>198120</wp:posOffset>
                  </wp:positionV>
                  <wp:extent cx="548005" cy="706120"/>
                  <wp:effectExtent l="0" t="0" r="4445" b="17780"/>
                  <wp:wrapNone/>
                  <wp:docPr id="54" name="图片_19"/>
                  <wp:cNvGraphicFramePr/>
                  <a:graphic xmlns:a="http://schemas.openxmlformats.org/drawingml/2006/main">
                    <a:graphicData uri="http://schemas.openxmlformats.org/drawingml/2006/picture">
                      <pic:pic xmlns:pic="http://schemas.openxmlformats.org/drawingml/2006/picture">
                        <pic:nvPicPr>
                          <pic:cNvPr id="54" name="图片_19"/>
                          <pic:cNvPicPr/>
                        </pic:nvPicPr>
                        <pic:blipFill>
                          <a:blip r:embed="rId22"/>
                          <a:stretch>
                            <a:fillRect/>
                          </a:stretch>
                        </pic:blipFill>
                        <pic:spPr>
                          <a:xfrm>
                            <a:off x="0" y="0"/>
                            <a:ext cx="548005" cy="706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产地品牌（参照或相当于）：HECMAC、舒文、伯明顿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型号：FUKKB100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功率：220V/0.15KW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规格：540×135×646</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四门双机双温冰箱</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4080" behindDoc="0" locked="0" layoutInCell="1" allowOverlap="1">
                  <wp:simplePos x="0" y="0"/>
                  <wp:positionH relativeFrom="column">
                    <wp:posOffset>351155</wp:posOffset>
                  </wp:positionH>
                  <wp:positionV relativeFrom="paragraph">
                    <wp:posOffset>269875</wp:posOffset>
                  </wp:positionV>
                  <wp:extent cx="661670" cy="1242060"/>
                  <wp:effectExtent l="0" t="0" r="5080" b="15240"/>
                  <wp:wrapNone/>
                  <wp:docPr id="55" name="Picture_1091"/>
                  <wp:cNvGraphicFramePr/>
                  <a:graphic xmlns:a="http://schemas.openxmlformats.org/drawingml/2006/main">
                    <a:graphicData uri="http://schemas.openxmlformats.org/drawingml/2006/picture">
                      <pic:pic xmlns:pic="http://schemas.openxmlformats.org/drawingml/2006/picture">
                        <pic:nvPicPr>
                          <pic:cNvPr id="55" name="Picture_1091"/>
                          <pic:cNvPicPr/>
                        </pic:nvPicPr>
                        <pic:blipFill>
                          <a:blip r:embed="rId23"/>
                          <a:stretch>
                            <a:fillRect/>
                          </a:stretch>
                        </pic:blipFill>
                        <pic:spPr>
                          <a:xfrm>
                            <a:off x="0" y="0"/>
                            <a:ext cx="661670" cy="12420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产地品牌（参照或相当于）：美厨、星星、久景</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说明：内胆采用不锈钢压花，恒温控制，自动回归</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门，采用优质压缩机低噪音，制冷管为紫铜管.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规格：1220×760×1950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家用煤气灶（嵌入式）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4624" behindDoc="0" locked="0" layoutInCell="1" allowOverlap="1">
                  <wp:simplePos x="0" y="0"/>
                  <wp:positionH relativeFrom="column">
                    <wp:posOffset>153670</wp:posOffset>
                  </wp:positionH>
                  <wp:positionV relativeFrom="paragraph">
                    <wp:posOffset>415290</wp:posOffset>
                  </wp:positionV>
                  <wp:extent cx="906145" cy="603885"/>
                  <wp:effectExtent l="0" t="0" r="8255" b="5715"/>
                  <wp:wrapNone/>
                  <wp:docPr id="56" name="图片_26"/>
                  <wp:cNvGraphicFramePr/>
                  <a:graphic xmlns:a="http://schemas.openxmlformats.org/drawingml/2006/main">
                    <a:graphicData uri="http://schemas.openxmlformats.org/drawingml/2006/picture">
                      <pic:pic xmlns:pic="http://schemas.openxmlformats.org/drawingml/2006/picture">
                        <pic:nvPicPr>
                          <pic:cNvPr id="56" name="图片_26"/>
                          <pic:cNvPicPr/>
                        </pic:nvPicPr>
                        <pic:blipFill>
                          <a:blip r:embed="rId24"/>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规格：1200×800×800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5648" behindDoc="0" locked="0" layoutInCell="1" allowOverlap="1">
                  <wp:simplePos x="0" y="0"/>
                  <wp:positionH relativeFrom="column">
                    <wp:posOffset>405765</wp:posOffset>
                  </wp:positionH>
                  <wp:positionV relativeFrom="paragraph">
                    <wp:posOffset>280035</wp:posOffset>
                  </wp:positionV>
                  <wp:extent cx="441960" cy="560070"/>
                  <wp:effectExtent l="0" t="0" r="15240" b="11430"/>
                  <wp:wrapNone/>
                  <wp:docPr id="57" name="图片_29"/>
                  <wp:cNvGraphicFramePr/>
                  <a:graphic xmlns:a="http://schemas.openxmlformats.org/drawingml/2006/main">
                    <a:graphicData uri="http://schemas.openxmlformats.org/drawingml/2006/picture">
                      <pic:pic xmlns:pic="http://schemas.openxmlformats.org/drawingml/2006/picture">
                        <pic:nvPicPr>
                          <pic:cNvPr id="57" name="图片_29"/>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脱排油烟罩</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6.8</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6672" behindDoc="0" locked="0" layoutInCell="1" allowOverlap="1">
                  <wp:simplePos x="0" y="0"/>
                  <wp:positionH relativeFrom="column">
                    <wp:posOffset>254000</wp:posOffset>
                  </wp:positionH>
                  <wp:positionV relativeFrom="paragraph">
                    <wp:posOffset>404495</wp:posOffset>
                  </wp:positionV>
                  <wp:extent cx="814705" cy="690880"/>
                  <wp:effectExtent l="0" t="0" r="4445" b="13970"/>
                  <wp:wrapNone/>
                  <wp:docPr id="58" name="Picture_803"/>
                  <wp:cNvGraphicFramePr/>
                  <a:graphic xmlns:a="http://schemas.openxmlformats.org/drawingml/2006/main">
                    <a:graphicData uri="http://schemas.openxmlformats.org/drawingml/2006/picture">
                      <pic:pic xmlns:pic="http://schemas.openxmlformats.org/drawingml/2006/picture">
                        <pic:nvPicPr>
                          <pic:cNvPr id="58" name="Picture_803"/>
                          <pic:cNvPicPr/>
                        </pic:nvPicPr>
                        <pic:blipFill>
                          <a:blip r:embed="rId25"/>
                          <a:stretch>
                            <a:fillRect/>
                          </a:stretch>
                        </pic:blipFill>
                        <pic:spPr>
                          <a:xfrm>
                            <a:off x="0" y="0"/>
                            <a:ext cx="814705" cy="6908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说明：配积油杯、防爆灯(滤油板、风机及排烟管另计）。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规格：（4130+1500）×1200×450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不锈钢油网</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块</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12</w:t>
            </w: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洗地龙头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7696" behindDoc="0" locked="0" layoutInCell="1" allowOverlap="1">
                  <wp:simplePos x="0" y="0"/>
                  <wp:positionH relativeFrom="column">
                    <wp:posOffset>241300</wp:posOffset>
                  </wp:positionH>
                  <wp:positionV relativeFrom="paragraph">
                    <wp:posOffset>148590</wp:posOffset>
                  </wp:positionV>
                  <wp:extent cx="621030" cy="452120"/>
                  <wp:effectExtent l="0" t="0" r="7620" b="5080"/>
                  <wp:wrapNone/>
                  <wp:docPr id="59" name="图片_2856_SpCnt_1"/>
                  <wp:cNvGraphicFramePr/>
                  <a:graphic xmlns:a="http://schemas.openxmlformats.org/drawingml/2006/main">
                    <a:graphicData uri="http://schemas.openxmlformats.org/drawingml/2006/picture">
                      <pic:pic xmlns:pic="http://schemas.openxmlformats.org/drawingml/2006/picture">
                        <pic:nvPicPr>
                          <pic:cNvPr id="59" name="图片_2856_SpCnt_1"/>
                          <pic:cNvPicPr/>
                        </pic:nvPicPr>
                        <pic:blipFill>
                          <a:blip r:embed="rId26"/>
                          <a:stretch>
                            <a:fillRect/>
                          </a:stretch>
                        </pic:blipFill>
                        <pic:spPr>
                          <a:xfrm>
                            <a:off x="0" y="0"/>
                            <a:ext cx="621030" cy="452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产地品牌（参照或相当于）：厨镖、佑飞、天仕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规格：10-12M</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洗碗间</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残菜回收台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8720" behindDoc="0" locked="0" layoutInCell="1" allowOverlap="1">
                  <wp:simplePos x="0" y="0"/>
                  <wp:positionH relativeFrom="column">
                    <wp:posOffset>207645</wp:posOffset>
                  </wp:positionH>
                  <wp:positionV relativeFrom="paragraph">
                    <wp:posOffset>437515</wp:posOffset>
                  </wp:positionV>
                  <wp:extent cx="820420" cy="843280"/>
                  <wp:effectExtent l="0" t="0" r="17780" b="13970"/>
                  <wp:wrapNone/>
                  <wp:docPr id="60" name="图片_2793_SpCnt_1"/>
                  <wp:cNvGraphicFramePr/>
                  <a:graphic xmlns:a="http://schemas.openxmlformats.org/drawingml/2006/main">
                    <a:graphicData uri="http://schemas.openxmlformats.org/drawingml/2006/picture">
                      <pic:pic xmlns:pic="http://schemas.openxmlformats.org/drawingml/2006/picture">
                        <pic:nvPicPr>
                          <pic:cNvPr id="60" name="图片_2793_SpCnt_1"/>
                          <pic:cNvPicPr/>
                        </pic:nvPicPr>
                        <pic:blipFill>
                          <a:blip r:embed="rId27"/>
                          <a:stretch>
                            <a:fillRect/>
                          </a:stretch>
                        </pic:blipFill>
                        <pic:spPr>
                          <a:xfrm>
                            <a:off x="0" y="0"/>
                            <a:ext cx="820420" cy="8432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台板厚度为1.2mm，侧板厚0.8mm不锈钢制造</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圆角模压成型，不锈钢加强档</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φ38mm不锈钢圆通腿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规格：800×800×800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L型双星洗碟台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规格：（1930+1750）×800×800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洗碗机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9744" behindDoc="0" locked="0" layoutInCell="1" allowOverlap="1">
                  <wp:simplePos x="0" y="0"/>
                  <wp:positionH relativeFrom="column">
                    <wp:posOffset>253365</wp:posOffset>
                  </wp:positionH>
                  <wp:positionV relativeFrom="paragraph">
                    <wp:posOffset>866775</wp:posOffset>
                  </wp:positionV>
                  <wp:extent cx="845185" cy="726440"/>
                  <wp:effectExtent l="0" t="0" r="12065" b="16510"/>
                  <wp:wrapNone/>
                  <wp:docPr id="61" name="图片_65"/>
                  <wp:cNvGraphicFramePr/>
                  <a:graphic xmlns:a="http://schemas.openxmlformats.org/drawingml/2006/main">
                    <a:graphicData uri="http://schemas.openxmlformats.org/drawingml/2006/picture">
                      <pic:pic xmlns:pic="http://schemas.openxmlformats.org/drawingml/2006/picture">
                        <pic:nvPicPr>
                          <pic:cNvPr id="61" name="图片_65"/>
                          <pic:cNvPicPr/>
                        </pic:nvPicPr>
                        <pic:blipFill>
                          <a:blip r:embed="rId28"/>
                          <a:stretch>
                            <a:fillRect/>
                          </a:stretch>
                        </pic:blipFill>
                        <pic:spPr>
                          <a:xfrm>
                            <a:off x="0" y="0"/>
                            <a:ext cx="845185" cy="7264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产地品牌（参照或相当于）：SUPER-WIN、MEIKO、HOBART</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型号：SW200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说明：电脑数字控制，单键操作，简单可靠；利喷嘴，稳定的水幕分布，减少洗室热量散失，高温清洗设计，去除食物残渣效果更出色，机电控制；高效清洗系统，增加餐具接触水量，去除食物残渣更彻底。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电功率：380V/48KW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规格：200筐</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规格：1550×860×1423</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集气罩</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2.5</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0768" behindDoc="0" locked="0" layoutInCell="1" allowOverlap="1">
                  <wp:simplePos x="0" y="0"/>
                  <wp:positionH relativeFrom="column">
                    <wp:posOffset>207645</wp:posOffset>
                  </wp:positionH>
                  <wp:positionV relativeFrom="paragraph">
                    <wp:posOffset>153670</wp:posOffset>
                  </wp:positionV>
                  <wp:extent cx="814705" cy="659130"/>
                  <wp:effectExtent l="0" t="0" r="4445" b="7620"/>
                  <wp:wrapNone/>
                  <wp:docPr id="62" name="Picture_803_SpCnt_1"/>
                  <wp:cNvGraphicFramePr/>
                  <a:graphic xmlns:a="http://schemas.openxmlformats.org/drawingml/2006/main">
                    <a:graphicData uri="http://schemas.openxmlformats.org/drawingml/2006/picture">
                      <pic:pic xmlns:pic="http://schemas.openxmlformats.org/drawingml/2006/picture">
                        <pic:nvPicPr>
                          <pic:cNvPr id="62" name="Picture_803_SpCnt_1"/>
                          <pic:cNvPicPr/>
                        </pic:nvPicPr>
                        <pic:blipFill>
                          <a:blip r:embed="rId29"/>
                          <a:stretch>
                            <a:fillRect/>
                          </a:stretch>
                        </pic:blipFill>
                        <pic:spPr>
                          <a:xfrm>
                            <a:off x="0" y="0"/>
                            <a:ext cx="814705" cy="6591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说明：配积油杯、防爆灯(滤油板、风机及排烟管另计）。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规格：2500×1000×450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花洒龙头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产地品牌（参照或相当于）：厨镖、佑飞、天仕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洁碟台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1792" behindDoc="0" locked="0" layoutInCell="1" allowOverlap="1">
                  <wp:simplePos x="0" y="0"/>
                  <wp:positionH relativeFrom="column">
                    <wp:posOffset>217170</wp:posOffset>
                  </wp:positionH>
                  <wp:positionV relativeFrom="paragraph">
                    <wp:posOffset>478790</wp:posOffset>
                  </wp:positionV>
                  <wp:extent cx="787400" cy="776605"/>
                  <wp:effectExtent l="0" t="0" r="12700" b="4445"/>
                  <wp:wrapNone/>
                  <wp:docPr id="63" name="图片_94"/>
                  <wp:cNvGraphicFramePr/>
                  <a:graphic xmlns:a="http://schemas.openxmlformats.org/drawingml/2006/main">
                    <a:graphicData uri="http://schemas.openxmlformats.org/drawingml/2006/picture">
                      <pic:pic xmlns:pic="http://schemas.openxmlformats.org/drawingml/2006/picture">
                        <pic:nvPicPr>
                          <pic:cNvPr id="63" name="图片_94"/>
                          <pic:cNvPicPr/>
                        </pic:nvPicPr>
                        <pic:blipFill>
                          <a:blip r:embed="rId30"/>
                          <a:stretch>
                            <a:fillRect/>
                          </a:stretch>
                        </pic:blipFill>
                        <pic:spPr>
                          <a:xfrm>
                            <a:off x="0" y="0"/>
                            <a:ext cx="787400" cy="77660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材质：选用优质SUS304-2B不锈钢板制作,面板厚1.2mm,侧板厚0.8mm不锈钢制作。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说明：骨架采用Φ38不锈钢管搭制，加强筋、档除外，配不锈钢可调子弹脚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规格：1200×800×450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四门保洁柜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2816" behindDoc="0" locked="0" layoutInCell="1" allowOverlap="1">
                  <wp:simplePos x="0" y="0"/>
                  <wp:positionH relativeFrom="column">
                    <wp:posOffset>328295</wp:posOffset>
                  </wp:positionH>
                  <wp:positionV relativeFrom="paragraph">
                    <wp:posOffset>661670</wp:posOffset>
                  </wp:positionV>
                  <wp:extent cx="628650" cy="969645"/>
                  <wp:effectExtent l="0" t="0" r="0" b="1905"/>
                  <wp:wrapNone/>
                  <wp:docPr id="64" name="Picture_1821"/>
                  <wp:cNvGraphicFramePr/>
                  <a:graphic xmlns:a="http://schemas.openxmlformats.org/drawingml/2006/main">
                    <a:graphicData uri="http://schemas.openxmlformats.org/drawingml/2006/picture">
                      <pic:pic xmlns:pic="http://schemas.openxmlformats.org/drawingml/2006/picture">
                        <pic:nvPicPr>
                          <pic:cNvPr id="64" name="Picture_1821"/>
                          <pic:cNvPicPr/>
                        </pic:nvPicPr>
                        <pic:blipFill>
                          <a:blip r:embed="rId31"/>
                          <a:stretch>
                            <a:fillRect/>
                          </a:stretch>
                        </pic:blipFill>
                        <pic:spPr>
                          <a:xfrm>
                            <a:off x="0" y="0"/>
                            <a:ext cx="628650" cy="9696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说明：内置四层，加强挡，上下均采用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不锈钢移门，配置不锈钢可调子弹脚。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Style w:val="78"/>
                <w:rFonts w:hint="default"/>
                <w:lang w:bidi="ar"/>
              </w:rPr>
              <w:t>规格：</w:t>
            </w:r>
            <w:r>
              <w:rPr>
                <w:rStyle w:val="79"/>
                <w:lang w:bidi="ar"/>
              </w:rPr>
              <w:t>12</w:t>
            </w:r>
            <w:r>
              <w:rPr>
                <w:rStyle w:val="78"/>
                <w:rFonts w:hint="default"/>
                <w:lang w:bidi="ar"/>
              </w:rPr>
              <w:t>00×500×1800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燃气热水器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3840" behindDoc="0" locked="0" layoutInCell="1" allowOverlap="1">
                  <wp:simplePos x="0" y="0"/>
                  <wp:positionH relativeFrom="column">
                    <wp:posOffset>290195</wp:posOffset>
                  </wp:positionH>
                  <wp:positionV relativeFrom="paragraph">
                    <wp:posOffset>31750</wp:posOffset>
                  </wp:positionV>
                  <wp:extent cx="426720" cy="574675"/>
                  <wp:effectExtent l="0" t="0" r="11430" b="15875"/>
                  <wp:wrapNone/>
                  <wp:docPr id="65" name="图片_51"/>
                  <wp:cNvGraphicFramePr/>
                  <a:graphic xmlns:a="http://schemas.openxmlformats.org/drawingml/2006/main">
                    <a:graphicData uri="http://schemas.openxmlformats.org/drawingml/2006/picture">
                      <pic:pic xmlns:pic="http://schemas.openxmlformats.org/drawingml/2006/picture">
                        <pic:nvPicPr>
                          <pic:cNvPr id="65" name="图片_51"/>
                          <pic:cNvPicPr/>
                        </pic:nvPicPr>
                        <pic:blipFill>
                          <a:blip r:embed="rId32"/>
                          <a:stretch>
                            <a:fillRect/>
                          </a:stretch>
                        </pic:blipFill>
                        <pic:spPr>
                          <a:xfrm>
                            <a:off x="0" y="0"/>
                            <a:ext cx="426720" cy="5746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产地品牌（参照或相当于）：樱花，海尔、美的</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规格：16L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4864" behindDoc="0" locked="0" layoutInCell="1" allowOverlap="1">
                  <wp:simplePos x="0" y="0"/>
                  <wp:positionH relativeFrom="column">
                    <wp:posOffset>390525</wp:posOffset>
                  </wp:positionH>
                  <wp:positionV relativeFrom="paragraph">
                    <wp:posOffset>257810</wp:posOffset>
                  </wp:positionV>
                  <wp:extent cx="441960" cy="560070"/>
                  <wp:effectExtent l="0" t="0" r="15240" b="11430"/>
                  <wp:wrapNone/>
                  <wp:docPr id="66" name="图片_48"/>
                  <wp:cNvGraphicFramePr/>
                  <a:graphic xmlns:a="http://schemas.openxmlformats.org/drawingml/2006/main">
                    <a:graphicData uri="http://schemas.openxmlformats.org/drawingml/2006/picture">
                      <pic:pic xmlns:pic="http://schemas.openxmlformats.org/drawingml/2006/picture">
                        <pic:nvPicPr>
                          <pic:cNvPr id="66" name="图片_48"/>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早餐区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单星洗手池（二次更衣）</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5888" behindDoc="0" locked="0" layoutInCell="1" allowOverlap="1">
                  <wp:simplePos x="0" y="0"/>
                  <wp:positionH relativeFrom="column">
                    <wp:posOffset>3568065</wp:posOffset>
                  </wp:positionH>
                  <wp:positionV relativeFrom="paragraph">
                    <wp:posOffset>128270</wp:posOffset>
                  </wp:positionV>
                  <wp:extent cx="774700" cy="877570"/>
                  <wp:effectExtent l="0" t="0" r="6350" b="17780"/>
                  <wp:wrapNone/>
                  <wp:docPr id="67" name="Picture_1090_SpCnt_2"/>
                  <wp:cNvGraphicFramePr/>
                  <a:graphic xmlns:a="http://schemas.openxmlformats.org/drawingml/2006/main">
                    <a:graphicData uri="http://schemas.openxmlformats.org/drawingml/2006/picture">
                      <pic:pic xmlns:pic="http://schemas.openxmlformats.org/drawingml/2006/picture">
                        <pic:nvPicPr>
                          <pic:cNvPr id="67" name="Picture_1090_SpCnt_2"/>
                          <pic:cNvPicPr/>
                        </pic:nvPicPr>
                        <pic:blipFill>
                          <a:blip r:embed="rId33"/>
                          <a:stretch>
                            <a:fillRect/>
                          </a:stretch>
                        </pic:blipFill>
                        <pic:spPr>
                          <a:xfrm>
                            <a:off x="0" y="0"/>
                            <a:ext cx="774700" cy="877570"/>
                          </a:xfrm>
                          <a:prstGeom prst="rect">
                            <a:avLst/>
                          </a:prstGeom>
                          <a:noFill/>
                          <a:ln>
                            <a:noFill/>
                          </a:ln>
                        </pic:spPr>
                      </pic:pic>
                    </a:graphicData>
                  </a:graphic>
                </wp:anchor>
              </w:drawing>
            </w: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规格：300×300×800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感应龙头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电蒸台（四眼，蒸笼自备）</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6912" behindDoc="0" locked="0" layoutInCell="1" allowOverlap="1">
                  <wp:simplePos x="0" y="0"/>
                  <wp:positionH relativeFrom="column">
                    <wp:posOffset>287655</wp:posOffset>
                  </wp:positionH>
                  <wp:positionV relativeFrom="paragraph">
                    <wp:posOffset>129540</wp:posOffset>
                  </wp:positionV>
                  <wp:extent cx="686435" cy="1153160"/>
                  <wp:effectExtent l="0" t="0" r="18415" b="8890"/>
                  <wp:wrapNone/>
                  <wp:docPr id="68" name="Picture_1811"/>
                  <wp:cNvGraphicFramePr/>
                  <a:graphic xmlns:a="http://schemas.openxmlformats.org/drawingml/2006/main">
                    <a:graphicData uri="http://schemas.openxmlformats.org/drawingml/2006/picture">
                      <pic:pic xmlns:pic="http://schemas.openxmlformats.org/drawingml/2006/picture">
                        <pic:nvPicPr>
                          <pic:cNvPr id="68" name="Picture_1811"/>
                          <pic:cNvPicPr/>
                        </pic:nvPicPr>
                        <pic:blipFill>
                          <a:blip r:embed="rId34"/>
                          <a:stretch>
                            <a:fillRect/>
                          </a:stretch>
                        </pic:blipFill>
                        <pic:spPr>
                          <a:xfrm>
                            <a:off x="0" y="0"/>
                            <a:ext cx="686435" cy="11531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内板采用1.0㎜,外板0.8㎜不锈钢板制作.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功率：380V/12KW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规格：650×650×700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电蒸台（木桶自备）</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7936" behindDoc="0" locked="0" layoutInCell="1" allowOverlap="1">
                  <wp:simplePos x="0" y="0"/>
                  <wp:positionH relativeFrom="column">
                    <wp:posOffset>205740</wp:posOffset>
                  </wp:positionH>
                  <wp:positionV relativeFrom="paragraph">
                    <wp:posOffset>216535</wp:posOffset>
                  </wp:positionV>
                  <wp:extent cx="773430" cy="1021715"/>
                  <wp:effectExtent l="0" t="0" r="7620" b="6985"/>
                  <wp:wrapNone/>
                  <wp:docPr id="69" name="Picture_1811_SpCnt_1"/>
                  <wp:cNvGraphicFramePr/>
                  <a:graphic xmlns:a="http://schemas.openxmlformats.org/drawingml/2006/main">
                    <a:graphicData uri="http://schemas.openxmlformats.org/drawingml/2006/picture">
                      <pic:pic xmlns:pic="http://schemas.openxmlformats.org/drawingml/2006/picture">
                        <pic:nvPicPr>
                          <pic:cNvPr id="69" name="Picture_1811_SpCnt_1"/>
                          <pic:cNvPicPr/>
                        </pic:nvPicPr>
                        <pic:blipFill>
                          <a:blip r:embed="rId34"/>
                          <a:stretch>
                            <a:fillRect/>
                          </a:stretch>
                        </pic:blipFill>
                        <pic:spPr>
                          <a:xfrm>
                            <a:off x="0" y="0"/>
                            <a:ext cx="773430" cy="10217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内板采用1.0㎜,外板0.8㎜不锈钢板制作.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功率：380V/12KW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规格：650×650×700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六眼煮面炉连汤池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8960" behindDoc="0" locked="0" layoutInCell="1" allowOverlap="1">
                  <wp:simplePos x="0" y="0"/>
                  <wp:positionH relativeFrom="column">
                    <wp:posOffset>172085</wp:posOffset>
                  </wp:positionH>
                  <wp:positionV relativeFrom="paragraph">
                    <wp:posOffset>401320</wp:posOffset>
                  </wp:positionV>
                  <wp:extent cx="883920" cy="805815"/>
                  <wp:effectExtent l="0" t="0" r="11430" b="13335"/>
                  <wp:wrapNone/>
                  <wp:docPr id="70" name="图片_32"/>
                  <wp:cNvGraphicFramePr/>
                  <a:graphic xmlns:a="http://schemas.openxmlformats.org/drawingml/2006/main">
                    <a:graphicData uri="http://schemas.openxmlformats.org/drawingml/2006/picture">
                      <pic:pic xmlns:pic="http://schemas.openxmlformats.org/drawingml/2006/picture">
                        <pic:nvPicPr>
                          <pic:cNvPr id="70" name="图片_32"/>
                          <pic:cNvPicPr/>
                        </pic:nvPicPr>
                        <pic:blipFill>
                          <a:blip r:embed="rId35"/>
                          <a:stretch>
                            <a:fillRect/>
                          </a:stretch>
                        </pic:blipFill>
                        <pic:spPr>
                          <a:xfrm>
                            <a:off x="0" y="0"/>
                            <a:ext cx="883920" cy="8058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产地品牌（参照或相当于）：汇利、佳斯特、喜玛特</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说明：喷流式设计，令加温迅速，节省能源；带水龙头，采用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1.2mm不锈钢板加工；操作台面高度更合理，让使用者更简便、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安全；超大容量汤盘，节能设计；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功率：220V/2.3KW*4</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规格：960×700×905</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全自动煎饺机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9984" behindDoc="0" locked="0" layoutInCell="1" allowOverlap="1">
                  <wp:simplePos x="0" y="0"/>
                  <wp:positionH relativeFrom="column">
                    <wp:posOffset>71120</wp:posOffset>
                  </wp:positionH>
                  <wp:positionV relativeFrom="paragraph">
                    <wp:posOffset>218440</wp:posOffset>
                  </wp:positionV>
                  <wp:extent cx="876935" cy="534670"/>
                  <wp:effectExtent l="0" t="0" r="18415" b="17780"/>
                  <wp:wrapNone/>
                  <wp:docPr id="71" name="图片_35"/>
                  <wp:cNvGraphicFramePr/>
                  <a:graphic xmlns:a="http://schemas.openxmlformats.org/drawingml/2006/main">
                    <a:graphicData uri="http://schemas.openxmlformats.org/drawingml/2006/picture">
                      <pic:pic xmlns:pic="http://schemas.openxmlformats.org/drawingml/2006/picture">
                        <pic:nvPicPr>
                          <pic:cNvPr id="71" name="图片_35"/>
                          <pic:cNvPicPr/>
                        </pic:nvPicPr>
                        <pic:blipFill>
                          <a:blip r:embed="rId36"/>
                          <a:stretch>
                            <a:fillRect/>
                          </a:stretch>
                        </pic:blipFill>
                        <pic:spPr>
                          <a:xfrm>
                            <a:off x="0" y="0"/>
                            <a:ext cx="876935" cy="5346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型号：PP-1</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功率：220V/3KW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规格：590×300×280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调料平台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w:t>
            </w:r>
            <w:r>
              <w:rPr>
                <w:rFonts w:hint="eastAsia" w:ascii="宋体" w:hAnsi="宋体" w:cs="宋体"/>
                <w:color w:val="000000"/>
                <w:sz w:val="22"/>
                <w:szCs w:val="22"/>
                <w:bdr w:val="single" w:color="000000" w:sz="4" w:space="0"/>
                <w:lang w:bidi="ar"/>
              </w:rPr>
              <w:drawing>
                <wp:anchor distT="0" distB="0" distL="114300" distR="114300" simplePos="0" relativeHeight="251691008" behindDoc="0" locked="0" layoutInCell="1" allowOverlap="1">
                  <wp:simplePos x="0" y="0"/>
                  <wp:positionH relativeFrom="column">
                    <wp:posOffset>3597275</wp:posOffset>
                  </wp:positionH>
                  <wp:positionV relativeFrom="paragraph">
                    <wp:posOffset>57785</wp:posOffset>
                  </wp:positionV>
                  <wp:extent cx="721360" cy="1278890"/>
                  <wp:effectExtent l="0" t="0" r="2540" b="16510"/>
                  <wp:wrapNone/>
                  <wp:docPr id="72" name="Picture_1781_SpCnt_1"/>
                  <wp:cNvGraphicFramePr/>
                  <a:graphic xmlns:a="http://schemas.openxmlformats.org/drawingml/2006/main">
                    <a:graphicData uri="http://schemas.openxmlformats.org/drawingml/2006/picture">
                      <pic:pic xmlns:pic="http://schemas.openxmlformats.org/drawingml/2006/picture">
                        <pic:nvPicPr>
                          <pic:cNvPr id="72" name="Picture_1781_SpCnt_1"/>
                          <pic:cNvPicPr/>
                        </pic:nvPicPr>
                        <pic:blipFill>
                          <a:blip r:embed="rId37"/>
                          <a:stretch>
                            <a:fillRect/>
                          </a:stretch>
                        </pic:blipFill>
                        <pic:spPr>
                          <a:xfrm>
                            <a:off x="0" y="0"/>
                            <a:ext cx="721360" cy="1278890"/>
                          </a:xfrm>
                          <a:prstGeom prst="rect">
                            <a:avLst/>
                          </a:prstGeom>
                          <a:noFill/>
                          <a:ln>
                            <a:noFill/>
                          </a:ln>
                        </pic:spPr>
                      </pic:pic>
                    </a:graphicData>
                  </a:graphic>
                </wp:anchor>
              </w:drawing>
            </w:r>
            <w:r>
              <w:rPr>
                <w:rFonts w:hint="eastAsia" w:ascii="宋体" w:hAnsi="宋体" w:cs="宋体"/>
                <w:color w:val="000000"/>
                <w:sz w:val="22"/>
                <w:szCs w:val="22"/>
                <w:lang w:bidi="ar"/>
              </w:rPr>
              <w:t>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说明：骨架采用Φ38不锈钢管搭制，加强筋，</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商用电磁单眼炒灶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2032" behindDoc="0" locked="0" layoutInCell="1" allowOverlap="1">
                  <wp:simplePos x="0" y="0"/>
                  <wp:positionH relativeFrom="column">
                    <wp:posOffset>164465</wp:posOffset>
                  </wp:positionH>
                  <wp:positionV relativeFrom="paragraph">
                    <wp:posOffset>678815</wp:posOffset>
                  </wp:positionV>
                  <wp:extent cx="924560" cy="896620"/>
                  <wp:effectExtent l="0" t="0" r="8890" b="17780"/>
                  <wp:wrapNone/>
                  <wp:docPr id="3" name="图片_37"/>
                  <wp:cNvGraphicFramePr/>
                  <a:graphic xmlns:a="http://schemas.openxmlformats.org/drawingml/2006/main">
                    <a:graphicData uri="http://schemas.openxmlformats.org/drawingml/2006/picture">
                      <pic:pic xmlns:pic="http://schemas.openxmlformats.org/drawingml/2006/picture">
                        <pic:nvPicPr>
                          <pic:cNvPr id="3" name="图片_37"/>
                          <pic:cNvPicPr/>
                        </pic:nvPicPr>
                        <pic:blipFill>
                          <a:blip r:embed="rId38"/>
                          <a:stretch>
                            <a:fillRect/>
                          </a:stretch>
                        </pic:blipFill>
                        <pic:spPr>
                          <a:xfrm>
                            <a:off x="0" y="0"/>
                            <a:ext cx="924560" cy="8966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高效:升温快,热效率高达90%以上</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安全:超温保护,自动故障检测,电压过(高、低）</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及缺相保护，节能：比普通燃气/油灶节能50%以上</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环保：无明火，无烟尘，无废气，低噪音，清洁卫生，</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优化厨房环境</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功率:380V15KW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规格：1000×800×800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3056" behindDoc="0" locked="0" layoutInCell="1" allowOverlap="1">
                  <wp:simplePos x="0" y="0"/>
                  <wp:positionH relativeFrom="column">
                    <wp:posOffset>73025</wp:posOffset>
                  </wp:positionH>
                  <wp:positionV relativeFrom="paragraph">
                    <wp:posOffset>302260</wp:posOffset>
                  </wp:positionV>
                  <wp:extent cx="906145" cy="603885"/>
                  <wp:effectExtent l="0" t="0" r="8255" b="5715"/>
                  <wp:wrapNone/>
                  <wp:docPr id="4" name="图片_38"/>
                  <wp:cNvGraphicFramePr/>
                  <a:graphic xmlns:a="http://schemas.openxmlformats.org/drawingml/2006/main">
                    <a:graphicData uri="http://schemas.openxmlformats.org/drawingml/2006/picture">
                      <pic:pic xmlns:pic="http://schemas.openxmlformats.org/drawingml/2006/picture">
                        <pic:nvPicPr>
                          <pic:cNvPr id="4" name="图片_38"/>
                          <pic:cNvPicPr/>
                        </pic:nvPicPr>
                        <pic:blipFill>
                          <a:blip r:embed="rId21"/>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规格：2000×500×800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打包台柜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3056" behindDoc="0" locked="0" layoutInCell="1" allowOverlap="1">
                  <wp:simplePos x="0" y="0"/>
                  <wp:positionH relativeFrom="column">
                    <wp:posOffset>271780</wp:posOffset>
                  </wp:positionH>
                  <wp:positionV relativeFrom="paragraph">
                    <wp:posOffset>812165</wp:posOffset>
                  </wp:positionV>
                  <wp:extent cx="776605" cy="965835"/>
                  <wp:effectExtent l="0" t="0" r="4445" b="5715"/>
                  <wp:wrapNone/>
                  <wp:docPr id="5" name="Picture_1786"/>
                  <wp:cNvGraphicFramePr/>
                  <a:graphic xmlns:a="http://schemas.openxmlformats.org/drawingml/2006/main">
                    <a:graphicData uri="http://schemas.openxmlformats.org/drawingml/2006/picture">
                      <pic:pic xmlns:pic="http://schemas.openxmlformats.org/drawingml/2006/picture">
                        <pic:nvPicPr>
                          <pic:cNvPr id="5" name="Picture_1786"/>
                          <pic:cNvPicPr/>
                        </pic:nvPicPr>
                        <pic:blipFill>
                          <a:blip r:embed="rId39"/>
                          <a:stretch>
                            <a:fillRect/>
                          </a:stretch>
                        </pic:blipFill>
                        <pic:spPr>
                          <a:xfrm>
                            <a:off x="0" y="0"/>
                            <a:ext cx="776605" cy="9658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718"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说明：单边开门，加强筋、档采用不锈钢制作，采用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53"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957"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规格：1800×600×800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商用豆浆机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产地品牌（参照或相当于）：禾元、</w:t>
            </w:r>
            <w:r>
              <w:rPr>
                <w:rFonts w:hint="eastAsia" w:ascii="宋体" w:hAnsi="宋体" w:cs="宋体"/>
                <w:color w:val="000000"/>
                <w:sz w:val="22"/>
                <w:szCs w:val="22"/>
                <w:bdr w:val="single" w:color="000000" w:sz="4" w:space="0"/>
                <w:lang w:bidi="ar"/>
              </w:rPr>
              <w:drawing>
                <wp:anchor distT="0" distB="0" distL="114300" distR="114300" simplePos="0" relativeHeight="251694080" behindDoc="0" locked="0" layoutInCell="1" allowOverlap="1">
                  <wp:simplePos x="0" y="0"/>
                  <wp:positionH relativeFrom="column">
                    <wp:posOffset>3772535</wp:posOffset>
                  </wp:positionH>
                  <wp:positionV relativeFrom="paragraph">
                    <wp:posOffset>-20320</wp:posOffset>
                  </wp:positionV>
                  <wp:extent cx="553085" cy="882015"/>
                  <wp:effectExtent l="0" t="0" r="18415" b="13335"/>
                  <wp:wrapNone/>
                  <wp:docPr id="6" name="图片_40"/>
                  <wp:cNvGraphicFramePr/>
                  <a:graphic xmlns:a="http://schemas.openxmlformats.org/drawingml/2006/main">
                    <a:graphicData uri="http://schemas.openxmlformats.org/drawingml/2006/picture">
                      <pic:pic xmlns:pic="http://schemas.openxmlformats.org/drawingml/2006/picture">
                        <pic:nvPicPr>
                          <pic:cNvPr id="6" name="图片_40"/>
                          <pic:cNvPicPr/>
                        </pic:nvPicPr>
                        <pic:blipFill>
                          <a:blip r:embed="rId40"/>
                          <a:stretch>
                            <a:fillRect/>
                          </a:stretch>
                        </pic:blipFill>
                        <pic:spPr>
                          <a:xfrm>
                            <a:off x="0" y="0"/>
                            <a:ext cx="553085" cy="882015"/>
                          </a:xfrm>
                          <a:prstGeom prst="rect">
                            <a:avLst/>
                          </a:prstGeom>
                          <a:noFill/>
                          <a:ln>
                            <a:noFill/>
                          </a:ln>
                        </pic:spPr>
                      </pic:pic>
                    </a:graphicData>
                  </a:graphic>
                </wp:anchor>
              </w:drawing>
            </w:r>
            <w:r>
              <w:rPr>
                <w:rFonts w:hint="eastAsia" w:ascii="宋体" w:hAnsi="宋体" w:cs="宋体"/>
                <w:color w:val="000000"/>
                <w:sz w:val="22"/>
                <w:szCs w:val="22"/>
                <w:lang w:bidi="ar"/>
              </w:rPr>
              <w:t>恒联、苏泊尔</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编号：G35</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电率：220V5KW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生产容量：15-35L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规格：570×430×1220（含架）</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5104" behindDoc="0" locked="0" layoutInCell="1" allowOverlap="1">
                  <wp:simplePos x="0" y="0"/>
                  <wp:positionH relativeFrom="column">
                    <wp:posOffset>267335</wp:posOffset>
                  </wp:positionH>
                  <wp:positionV relativeFrom="paragraph">
                    <wp:posOffset>273050</wp:posOffset>
                  </wp:positionV>
                  <wp:extent cx="774700" cy="1391920"/>
                  <wp:effectExtent l="0" t="0" r="6350" b="17780"/>
                  <wp:wrapNone/>
                  <wp:docPr id="7" name="Picture_1090_SpCnt_3"/>
                  <wp:cNvGraphicFramePr/>
                  <a:graphic xmlns:a="http://schemas.openxmlformats.org/drawingml/2006/main">
                    <a:graphicData uri="http://schemas.openxmlformats.org/drawingml/2006/picture">
                      <pic:pic xmlns:pic="http://schemas.openxmlformats.org/drawingml/2006/picture">
                        <pic:nvPicPr>
                          <pic:cNvPr id="7" name="Picture_1090_SpCnt_3"/>
                          <pic:cNvPicPr/>
                        </pic:nvPicPr>
                        <pic:blipFill>
                          <a:blip r:embed="rId14"/>
                          <a:stretch>
                            <a:fillRect/>
                          </a:stretch>
                        </pic:blipFill>
                        <pic:spPr>
                          <a:xfrm>
                            <a:off x="0" y="0"/>
                            <a:ext cx="774700" cy="13919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工作柜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6128" behindDoc="0" locked="0" layoutInCell="1" allowOverlap="1">
                  <wp:simplePos x="0" y="0"/>
                  <wp:positionH relativeFrom="column">
                    <wp:posOffset>234315</wp:posOffset>
                  </wp:positionH>
                  <wp:positionV relativeFrom="paragraph">
                    <wp:posOffset>635000</wp:posOffset>
                  </wp:positionV>
                  <wp:extent cx="776605" cy="902335"/>
                  <wp:effectExtent l="0" t="0" r="4445" b="12065"/>
                  <wp:wrapNone/>
                  <wp:docPr id="8" name="Picture_1786_SpCnt_1"/>
                  <wp:cNvGraphicFramePr/>
                  <a:graphic xmlns:a="http://schemas.openxmlformats.org/drawingml/2006/main">
                    <a:graphicData uri="http://schemas.openxmlformats.org/drawingml/2006/picture">
                      <pic:pic xmlns:pic="http://schemas.openxmlformats.org/drawingml/2006/picture">
                        <pic:nvPicPr>
                          <pic:cNvPr id="8" name="Picture_1786_SpCnt_1"/>
                          <pic:cNvPicPr/>
                        </pic:nvPicPr>
                        <pic:blipFill>
                          <a:blip r:embed="rId41"/>
                          <a:stretch>
                            <a:fillRect/>
                          </a:stretch>
                        </pic:blipFill>
                        <pic:spPr>
                          <a:xfrm>
                            <a:off x="0" y="0"/>
                            <a:ext cx="776605" cy="9023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说明：单边开门，加强筋、档采用不锈钢制作，采用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规格：1000×600×800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8176" behindDoc="0" locked="0" layoutInCell="1" allowOverlap="1">
                  <wp:simplePos x="0" y="0"/>
                  <wp:positionH relativeFrom="column">
                    <wp:posOffset>364490</wp:posOffset>
                  </wp:positionH>
                  <wp:positionV relativeFrom="paragraph">
                    <wp:posOffset>226060</wp:posOffset>
                  </wp:positionV>
                  <wp:extent cx="441960" cy="560070"/>
                  <wp:effectExtent l="0" t="0" r="15240" b="11430"/>
                  <wp:wrapNone/>
                  <wp:docPr id="10" name="图片_42"/>
                  <wp:cNvGraphicFramePr/>
                  <a:graphic xmlns:a="http://schemas.openxmlformats.org/drawingml/2006/main">
                    <a:graphicData uri="http://schemas.openxmlformats.org/drawingml/2006/picture">
                      <pic:pic xmlns:pic="http://schemas.openxmlformats.org/drawingml/2006/picture">
                        <pic:nvPicPr>
                          <pic:cNvPr id="10" name="图片_42"/>
                          <pic:cNvPicPr/>
                        </pic:nvPicPr>
                        <pic:blipFill>
                          <a:blip r:embed="rId15"/>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75"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脱排油烟罩</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4.4</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464"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7152" behindDoc="0" locked="0" layoutInCell="1" allowOverlap="1">
                  <wp:simplePos x="0" y="0"/>
                  <wp:positionH relativeFrom="column">
                    <wp:posOffset>3632200</wp:posOffset>
                  </wp:positionH>
                  <wp:positionV relativeFrom="paragraph">
                    <wp:posOffset>94615</wp:posOffset>
                  </wp:positionV>
                  <wp:extent cx="789305" cy="791210"/>
                  <wp:effectExtent l="0" t="0" r="10795" b="8890"/>
                  <wp:wrapNone/>
                  <wp:docPr id="9" name="Picture_803_SpCnt_2"/>
                  <wp:cNvGraphicFramePr/>
                  <a:graphic xmlns:a="http://schemas.openxmlformats.org/drawingml/2006/main">
                    <a:graphicData uri="http://schemas.openxmlformats.org/drawingml/2006/picture">
                      <pic:pic xmlns:pic="http://schemas.openxmlformats.org/drawingml/2006/picture">
                        <pic:nvPicPr>
                          <pic:cNvPr id="9" name="Picture_803_SpCnt_2"/>
                          <pic:cNvPicPr/>
                        </pic:nvPicPr>
                        <pic:blipFill>
                          <a:blip r:embed="rId42"/>
                          <a:stretch>
                            <a:fillRect/>
                          </a:stretch>
                        </pic:blipFill>
                        <pic:spPr>
                          <a:xfrm>
                            <a:off x="0" y="0"/>
                            <a:ext cx="789305" cy="791210"/>
                          </a:xfrm>
                          <a:prstGeom prst="rect">
                            <a:avLst/>
                          </a:prstGeom>
                          <a:noFill/>
                          <a:ln>
                            <a:noFill/>
                          </a:ln>
                        </pic:spPr>
                      </pic:pic>
                    </a:graphicData>
                  </a:graphic>
                </wp:anchor>
              </w:drawing>
            </w: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63"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说明：配积油杯、防爆灯(滤油板、风机及排烟管另计）。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87"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规格：4400×1000×450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不锈钢油网</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块</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9</w:t>
            </w: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3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打菜区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四斗保温台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4</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9200" behindDoc="0" locked="0" layoutInCell="1" allowOverlap="1">
                  <wp:simplePos x="0" y="0"/>
                  <wp:positionH relativeFrom="column">
                    <wp:posOffset>175260</wp:posOffset>
                  </wp:positionH>
                  <wp:positionV relativeFrom="paragraph">
                    <wp:posOffset>712470</wp:posOffset>
                  </wp:positionV>
                  <wp:extent cx="901700" cy="647065"/>
                  <wp:effectExtent l="0" t="0" r="12700" b="635"/>
                  <wp:wrapNone/>
                  <wp:docPr id="11" name="图片_27"/>
                  <wp:cNvGraphicFramePr/>
                  <a:graphic xmlns:a="http://schemas.openxmlformats.org/drawingml/2006/main">
                    <a:graphicData uri="http://schemas.openxmlformats.org/drawingml/2006/picture">
                      <pic:pic xmlns:pic="http://schemas.openxmlformats.org/drawingml/2006/picture">
                        <pic:nvPicPr>
                          <pic:cNvPr id="11" name="图片_27"/>
                          <pic:cNvPicPr/>
                        </pic:nvPicPr>
                        <pic:blipFill>
                          <a:blip r:embed="rId43"/>
                          <a:stretch>
                            <a:fillRect/>
                          </a:stretch>
                        </pic:blipFill>
                        <pic:spPr>
                          <a:xfrm>
                            <a:off x="0" y="0"/>
                            <a:ext cx="901700" cy="6470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德国进口温控，4KW 220V型电热管，脚采用Φ38</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圆管制作。配可调活动子弹脚.配斗4个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规格：1300×500×800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六斗保温台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0224" behindDoc="0" locked="0" layoutInCell="1" allowOverlap="1">
                  <wp:simplePos x="0" y="0"/>
                  <wp:positionH relativeFrom="column">
                    <wp:posOffset>160655</wp:posOffset>
                  </wp:positionH>
                  <wp:positionV relativeFrom="paragraph">
                    <wp:posOffset>771525</wp:posOffset>
                  </wp:positionV>
                  <wp:extent cx="901700" cy="647065"/>
                  <wp:effectExtent l="0" t="0" r="12700" b="635"/>
                  <wp:wrapNone/>
                  <wp:docPr id="12" name="图片_33"/>
                  <wp:cNvGraphicFramePr/>
                  <a:graphic xmlns:a="http://schemas.openxmlformats.org/drawingml/2006/main">
                    <a:graphicData uri="http://schemas.openxmlformats.org/drawingml/2006/picture">
                      <pic:pic xmlns:pic="http://schemas.openxmlformats.org/drawingml/2006/picture">
                        <pic:nvPicPr>
                          <pic:cNvPr id="12" name="图片_33"/>
                          <pic:cNvPicPr/>
                        </pic:nvPicPr>
                        <pic:blipFill>
                          <a:blip r:embed="rId44"/>
                          <a:stretch>
                            <a:fillRect/>
                          </a:stretch>
                        </pic:blipFill>
                        <pic:spPr>
                          <a:xfrm>
                            <a:off x="0" y="0"/>
                            <a:ext cx="901700" cy="6470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德国进口温控，4KW 220V型电热管，脚采用Φ38</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圆管制作。配可调活动子弹脚.配斗4个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规格：1100×900×800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工作台柜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1248" behindDoc="0" locked="0" layoutInCell="1" allowOverlap="1">
                  <wp:simplePos x="0" y="0"/>
                  <wp:positionH relativeFrom="column">
                    <wp:posOffset>268605</wp:posOffset>
                  </wp:positionH>
                  <wp:positionV relativeFrom="paragraph">
                    <wp:posOffset>382905</wp:posOffset>
                  </wp:positionV>
                  <wp:extent cx="776605" cy="934085"/>
                  <wp:effectExtent l="0" t="0" r="4445" b="18415"/>
                  <wp:wrapNone/>
                  <wp:docPr id="13" name="Picture_1786_SpCnt_2"/>
                  <wp:cNvGraphicFramePr/>
                  <a:graphic xmlns:a="http://schemas.openxmlformats.org/drawingml/2006/main">
                    <a:graphicData uri="http://schemas.openxmlformats.org/drawingml/2006/picture">
                      <pic:pic xmlns:pic="http://schemas.openxmlformats.org/drawingml/2006/picture">
                        <pic:nvPicPr>
                          <pic:cNvPr id="13" name="Picture_1786_SpCnt_2"/>
                          <pic:cNvPicPr/>
                        </pic:nvPicPr>
                        <pic:blipFill>
                          <a:blip r:embed="rId45"/>
                          <a:stretch>
                            <a:fillRect/>
                          </a:stretch>
                        </pic:blipFill>
                        <pic:spPr>
                          <a:xfrm>
                            <a:off x="0" y="0"/>
                            <a:ext cx="776605" cy="9340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说明：单边开门，加强筋、档采用不锈钢制作，采用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9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规格：1200×600×800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留样冰箱</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2272" behindDoc="0" locked="0" layoutInCell="1" allowOverlap="1">
                  <wp:simplePos x="0" y="0"/>
                  <wp:positionH relativeFrom="column">
                    <wp:posOffset>259715</wp:posOffset>
                  </wp:positionH>
                  <wp:positionV relativeFrom="paragraph">
                    <wp:posOffset>113030</wp:posOffset>
                  </wp:positionV>
                  <wp:extent cx="682625" cy="539750"/>
                  <wp:effectExtent l="0" t="0" r="3175" b="12700"/>
                  <wp:wrapNone/>
                  <wp:docPr id="14" name="图片_96"/>
                  <wp:cNvGraphicFramePr/>
                  <a:graphic xmlns:a="http://schemas.openxmlformats.org/drawingml/2006/main">
                    <a:graphicData uri="http://schemas.openxmlformats.org/drawingml/2006/picture">
                      <pic:pic xmlns:pic="http://schemas.openxmlformats.org/drawingml/2006/picture">
                        <pic:nvPicPr>
                          <pic:cNvPr id="14" name="图片_96"/>
                          <pic:cNvPicPr/>
                        </pic:nvPicPr>
                        <pic:blipFill>
                          <a:blip r:embed="rId46"/>
                          <a:stretch>
                            <a:fillRect/>
                          </a:stretch>
                        </pic:blipFill>
                        <pic:spPr>
                          <a:xfrm>
                            <a:off x="0" y="0"/>
                            <a:ext cx="682625" cy="5397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产地品牌（参照或相当于）：华美、银都、星星</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规格：525×560×1800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筷子消毒机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产地品牌（参照或相当于）：拓玛、盛京、乐创</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3296" behindDoc="0" locked="0" layoutInCell="1" allowOverlap="1">
                  <wp:simplePos x="0" y="0"/>
                  <wp:positionH relativeFrom="column">
                    <wp:posOffset>3651250</wp:posOffset>
                  </wp:positionH>
                  <wp:positionV relativeFrom="paragraph">
                    <wp:posOffset>-99060</wp:posOffset>
                  </wp:positionV>
                  <wp:extent cx="704850" cy="711835"/>
                  <wp:effectExtent l="0" t="0" r="0" b="12065"/>
                  <wp:wrapNone/>
                  <wp:docPr id="15" name="图片_23"/>
                  <wp:cNvGraphicFramePr/>
                  <a:graphic xmlns:a="http://schemas.openxmlformats.org/drawingml/2006/main">
                    <a:graphicData uri="http://schemas.openxmlformats.org/drawingml/2006/picture">
                      <pic:pic xmlns:pic="http://schemas.openxmlformats.org/drawingml/2006/picture">
                        <pic:nvPicPr>
                          <pic:cNvPr id="15" name="图片_23"/>
                          <pic:cNvPicPr/>
                        </pic:nvPicPr>
                        <pic:blipFill>
                          <a:blip r:embed="rId47"/>
                          <a:stretch>
                            <a:fillRect/>
                          </a:stretch>
                        </pic:blipFill>
                        <pic:spPr>
                          <a:xfrm>
                            <a:off x="0" y="0"/>
                            <a:ext cx="704850" cy="711835"/>
                          </a:xfrm>
                          <a:prstGeom prst="rect">
                            <a:avLst/>
                          </a:prstGeom>
                          <a:noFill/>
                          <a:ln>
                            <a:noFill/>
                          </a:ln>
                        </pic:spPr>
                      </pic:pic>
                    </a:graphicData>
                  </a:graphic>
                </wp:anchor>
              </w:drawing>
            </w:r>
            <w:r>
              <w:rPr>
                <w:rFonts w:hint="eastAsia" w:ascii="宋体" w:hAnsi="宋体" w:cs="宋体"/>
                <w:color w:val="000000"/>
                <w:sz w:val="22"/>
                <w:szCs w:val="22"/>
                <w:lang w:bidi="ar"/>
              </w:rPr>
              <w:t>功率：220V/0.12KW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规格：305×255×245  容纳200双筷子</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4320" behindDoc="0" locked="0" layoutInCell="1" allowOverlap="1">
                  <wp:simplePos x="0" y="0"/>
                  <wp:positionH relativeFrom="column">
                    <wp:posOffset>175895</wp:posOffset>
                  </wp:positionH>
                  <wp:positionV relativeFrom="paragraph">
                    <wp:posOffset>387985</wp:posOffset>
                  </wp:positionV>
                  <wp:extent cx="906145" cy="603885"/>
                  <wp:effectExtent l="0" t="0" r="8255" b="5715"/>
                  <wp:wrapNone/>
                  <wp:docPr id="16" name="图片_46"/>
                  <wp:cNvGraphicFramePr/>
                  <a:graphic xmlns:a="http://schemas.openxmlformats.org/drawingml/2006/main">
                    <a:graphicData uri="http://schemas.openxmlformats.org/drawingml/2006/picture">
                      <pic:pic xmlns:pic="http://schemas.openxmlformats.org/drawingml/2006/picture">
                        <pic:nvPicPr>
                          <pic:cNvPr id="16" name="图片_46"/>
                          <pic:cNvPicPr/>
                        </pic:nvPicPr>
                        <pic:blipFill>
                          <a:blip r:embed="rId21"/>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规格：1600×500×800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全封闭托盘车</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辆</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5344" behindDoc="0" locked="0" layoutInCell="1" allowOverlap="1">
                  <wp:simplePos x="0" y="0"/>
                  <wp:positionH relativeFrom="column">
                    <wp:posOffset>307975</wp:posOffset>
                  </wp:positionH>
                  <wp:positionV relativeFrom="paragraph">
                    <wp:posOffset>503555</wp:posOffset>
                  </wp:positionV>
                  <wp:extent cx="759460" cy="920115"/>
                  <wp:effectExtent l="0" t="0" r="2540" b="13335"/>
                  <wp:wrapNone/>
                  <wp:docPr id="17" name="图片_47"/>
                  <wp:cNvGraphicFramePr/>
                  <a:graphic xmlns:a="http://schemas.openxmlformats.org/drawingml/2006/main">
                    <a:graphicData uri="http://schemas.openxmlformats.org/drawingml/2006/picture">
                      <pic:pic xmlns:pic="http://schemas.openxmlformats.org/drawingml/2006/picture">
                        <pic:nvPicPr>
                          <pic:cNvPr id="17" name="图片_47"/>
                          <pic:cNvPicPr/>
                        </pic:nvPicPr>
                        <pic:blipFill>
                          <a:blip r:embed="rId48"/>
                          <a:stretch>
                            <a:fillRect/>
                          </a:stretch>
                        </pic:blipFill>
                        <pic:spPr>
                          <a:xfrm>
                            <a:off x="0" y="0"/>
                            <a:ext cx="759460" cy="9201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说明：下面单边开门，上面无门，加强筋、档采用不</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规格：740×500×1010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深斗送碗车（带盖）</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辆</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说明：拉手采用方管制作。 斗深400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配四寸万向活轮四只。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规格：1000×500×800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餐饭回收区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深斗回收车</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辆</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说明：拉手采用方管制作。斗深600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配四寸万向活轮四只。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规格：800×600×800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全封闭残食台（双眼）</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6368" behindDoc="0" locked="0" layoutInCell="1" allowOverlap="1">
                  <wp:simplePos x="0" y="0"/>
                  <wp:positionH relativeFrom="column">
                    <wp:posOffset>268605</wp:posOffset>
                  </wp:positionH>
                  <wp:positionV relativeFrom="paragraph">
                    <wp:posOffset>139065</wp:posOffset>
                  </wp:positionV>
                  <wp:extent cx="858520" cy="666115"/>
                  <wp:effectExtent l="0" t="0" r="17780" b="635"/>
                  <wp:wrapNone/>
                  <wp:docPr id="18" name="图片_49"/>
                  <wp:cNvGraphicFramePr/>
                  <a:graphic xmlns:a="http://schemas.openxmlformats.org/drawingml/2006/main">
                    <a:graphicData uri="http://schemas.openxmlformats.org/drawingml/2006/picture">
                      <pic:pic xmlns:pic="http://schemas.openxmlformats.org/drawingml/2006/picture">
                        <pic:nvPicPr>
                          <pic:cNvPr id="18" name="图片_49"/>
                          <pic:cNvPicPr/>
                        </pic:nvPicPr>
                        <pic:blipFill>
                          <a:blip r:embed="rId49"/>
                          <a:stretch>
                            <a:fillRect/>
                          </a:stretch>
                        </pic:blipFill>
                        <pic:spPr>
                          <a:xfrm>
                            <a:off x="0" y="0"/>
                            <a:ext cx="858520" cy="6661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台板1.2㎜，侧板采用0.8㎜不锈钢板制作.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配推车2辆，不锈钢回收桶2只。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规格：1800×800×800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四人餐桌（一楼及二楼，含88把椅子）</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7392" behindDoc="0" locked="0" layoutInCell="1" allowOverlap="1">
                  <wp:simplePos x="0" y="0"/>
                  <wp:positionH relativeFrom="column">
                    <wp:posOffset>429260</wp:posOffset>
                  </wp:positionH>
                  <wp:positionV relativeFrom="paragraph">
                    <wp:posOffset>94615</wp:posOffset>
                  </wp:positionV>
                  <wp:extent cx="391795" cy="334010"/>
                  <wp:effectExtent l="0" t="0" r="8255" b="8890"/>
                  <wp:wrapNone/>
                  <wp:docPr id="19" name="图片_61"/>
                  <wp:cNvGraphicFramePr/>
                  <a:graphic xmlns:a="http://schemas.openxmlformats.org/drawingml/2006/main">
                    <a:graphicData uri="http://schemas.openxmlformats.org/drawingml/2006/picture">
                      <pic:pic xmlns:pic="http://schemas.openxmlformats.org/drawingml/2006/picture">
                        <pic:nvPicPr>
                          <pic:cNvPr id="19" name="图片_61"/>
                          <pic:cNvPicPr/>
                        </pic:nvPicPr>
                        <pic:blipFill>
                          <a:blip r:embed="rId50"/>
                          <a:stretch>
                            <a:fillRect/>
                          </a:stretch>
                        </pic:blipFill>
                        <pic:spPr>
                          <a:xfrm>
                            <a:off x="0" y="0"/>
                            <a:ext cx="391795" cy="3340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规格：1400×700×800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吧台桌</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规格：7160×550×800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不锈钢长槽水池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8416" behindDoc="0" locked="0" layoutInCell="1" allowOverlap="1">
                  <wp:simplePos x="0" y="0"/>
                  <wp:positionH relativeFrom="column">
                    <wp:posOffset>159385</wp:posOffset>
                  </wp:positionH>
                  <wp:positionV relativeFrom="paragraph">
                    <wp:posOffset>610235</wp:posOffset>
                  </wp:positionV>
                  <wp:extent cx="833755" cy="608330"/>
                  <wp:effectExtent l="0" t="0" r="4445" b="1270"/>
                  <wp:wrapNone/>
                  <wp:docPr id="20" name="图片_6"/>
                  <wp:cNvGraphicFramePr/>
                  <a:graphic xmlns:a="http://schemas.openxmlformats.org/drawingml/2006/main">
                    <a:graphicData uri="http://schemas.openxmlformats.org/drawingml/2006/picture">
                      <pic:pic xmlns:pic="http://schemas.openxmlformats.org/drawingml/2006/picture">
                        <pic:nvPicPr>
                          <pic:cNvPr id="20" name="图片_6"/>
                          <pic:cNvPicPr/>
                        </pic:nvPicPr>
                        <pic:blipFill>
                          <a:blip r:embed="rId51"/>
                          <a:stretch>
                            <a:fillRect/>
                          </a:stretch>
                        </pic:blipFill>
                        <pic:spPr>
                          <a:xfrm>
                            <a:off x="0" y="0"/>
                            <a:ext cx="833755" cy="6083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规格：2200×600×800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拖把池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9440" behindDoc="0" locked="0" layoutInCell="1" allowOverlap="1">
                  <wp:simplePos x="0" y="0"/>
                  <wp:positionH relativeFrom="column">
                    <wp:posOffset>120650</wp:posOffset>
                  </wp:positionH>
                  <wp:positionV relativeFrom="paragraph">
                    <wp:posOffset>111760</wp:posOffset>
                  </wp:positionV>
                  <wp:extent cx="774700" cy="1391920"/>
                  <wp:effectExtent l="0" t="0" r="6350" b="17780"/>
                  <wp:wrapNone/>
                  <wp:docPr id="21" name="Picture_1090_SpCnt_4"/>
                  <wp:cNvGraphicFramePr/>
                  <a:graphic xmlns:a="http://schemas.openxmlformats.org/drawingml/2006/main">
                    <a:graphicData uri="http://schemas.openxmlformats.org/drawingml/2006/picture">
                      <pic:pic xmlns:pic="http://schemas.openxmlformats.org/drawingml/2006/picture">
                        <pic:nvPicPr>
                          <pic:cNvPr id="21" name="Picture_1090_SpCnt_4"/>
                          <pic:cNvPicPr/>
                        </pic:nvPicPr>
                        <pic:blipFill>
                          <a:blip r:embed="rId14"/>
                          <a:stretch>
                            <a:fillRect/>
                          </a:stretch>
                        </pic:blipFill>
                        <pic:spPr>
                          <a:xfrm>
                            <a:off x="0" y="0"/>
                            <a:ext cx="774700" cy="13919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规格：800×600×500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5</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0464" behindDoc="0" locked="0" layoutInCell="1" allowOverlap="1">
                  <wp:simplePos x="0" y="0"/>
                  <wp:positionH relativeFrom="column">
                    <wp:posOffset>203835</wp:posOffset>
                  </wp:positionH>
                  <wp:positionV relativeFrom="paragraph">
                    <wp:posOffset>38735</wp:posOffset>
                  </wp:positionV>
                  <wp:extent cx="441960" cy="560070"/>
                  <wp:effectExtent l="0" t="0" r="15240" b="11430"/>
                  <wp:wrapNone/>
                  <wp:docPr id="22" name="图片_50"/>
                  <wp:cNvGraphicFramePr/>
                  <a:graphic xmlns:a="http://schemas.openxmlformats.org/drawingml/2006/main">
                    <a:graphicData uri="http://schemas.openxmlformats.org/drawingml/2006/picture">
                      <pic:pic xmlns:pic="http://schemas.openxmlformats.org/drawingml/2006/picture">
                        <pic:nvPicPr>
                          <pic:cNvPr id="22" name="图片_50"/>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不锈钢汤桶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1488" behindDoc="0" locked="0" layoutInCell="1" allowOverlap="1">
                  <wp:simplePos x="0" y="0"/>
                  <wp:positionH relativeFrom="column">
                    <wp:posOffset>302260</wp:posOffset>
                  </wp:positionH>
                  <wp:positionV relativeFrom="paragraph">
                    <wp:posOffset>163195</wp:posOffset>
                  </wp:positionV>
                  <wp:extent cx="617855" cy="537845"/>
                  <wp:effectExtent l="0" t="0" r="10795" b="14605"/>
                  <wp:wrapNone/>
                  <wp:docPr id="23" name="图片_30"/>
                  <wp:cNvGraphicFramePr/>
                  <a:graphic xmlns:a="http://schemas.openxmlformats.org/drawingml/2006/main">
                    <a:graphicData uri="http://schemas.openxmlformats.org/drawingml/2006/picture">
                      <pic:pic xmlns:pic="http://schemas.openxmlformats.org/drawingml/2006/picture">
                        <pic:nvPicPr>
                          <pic:cNvPr id="23" name="图片_30"/>
                          <pic:cNvPicPr/>
                        </pic:nvPicPr>
                        <pic:blipFill>
                          <a:blip r:embed="rId52"/>
                          <a:stretch>
                            <a:fillRect/>
                          </a:stretch>
                        </pic:blipFill>
                        <pic:spPr>
                          <a:xfrm>
                            <a:off x="0" y="0"/>
                            <a:ext cx="617855" cy="5378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规格：Φ500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排烟系统</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不锈钢排烟风管</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110</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2512" behindDoc="0" locked="0" layoutInCell="1" allowOverlap="1">
                  <wp:simplePos x="0" y="0"/>
                  <wp:positionH relativeFrom="column">
                    <wp:posOffset>3634105</wp:posOffset>
                  </wp:positionH>
                  <wp:positionV relativeFrom="paragraph">
                    <wp:posOffset>175260</wp:posOffset>
                  </wp:positionV>
                  <wp:extent cx="514985" cy="625475"/>
                  <wp:effectExtent l="0" t="0" r="18415" b="3175"/>
                  <wp:wrapNone/>
                  <wp:docPr id="24" name="图片_115"/>
                  <wp:cNvGraphicFramePr/>
                  <a:graphic xmlns:a="http://schemas.openxmlformats.org/drawingml/2006/main">
                    <a:graphicData uri="http://schemas.openxmlformats.org/drawingml/2006/picture">
                      <pic:pic xmlns:pic="http://schemas.openxmlformats.org/drawingml/2006/picture">
                        <pic:nvPicPr>
                          <pic:cNvPr id="24" name="图片_115"/>
                          <pic:cNvPicPr/>
                        </pic:nvPicPr>
                        <pic:blipFill>
                          <a:blip r:embed="rId53"/>
                          <a:stretch>
                            <a:fillRect/>
                          </a:stretch>
                        </pic:blipFill>
                        <pic:spPr>
                          <a:xfrm>
                            <a:off x="0" y="0"/>
                            <a:ext cx="514985" cy="625475"/>
                          </a:xfrm>
                          <a:prstGeom prst="rect">
                            <a:avLst/>
                          </a:prstGeom>
                          <a:noFill/>
                          <a:ln>
                            <a:noFill/>
                          </a:ln>
                        </pic:spPr>
                      </pic:pic>
                    </a:graphicData>
                  </a:graphic>
                </wp:anchor>
              </w:drawing>
            </w: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法兰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付</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37</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3536" behindDoc="0" locked="0" layoutInCell="1" allowOverlap="1">
                  <wp:simplePos x="0" y="0"/>
                  <wp:positionH relativeFrom="column">
                    <wp:posOffset>352425</wp:posOffset>
                  </wp:positionH>
                  <wp:positionV relativeFrom="paragraph">
                    <wp:posOffset>31115</wp:posOffset>
                  </wp:positionV>
                  <wp:extent cx="344805" cy="296545"/>
                  <wp:effectExtent l="0" t="0" r="17145" b="8255"/>
                  <wp:wrapNone/>
                  <wp:docPr id="25" name="图片_53"/>
                  <wp:cNvGraphicFramePr/>
                  <a:graphic xmlns:a="http://schemas.openxmlformats.org/drawingml/2006/main">
                    <a:graphicData uri="http://schemas.openxmlformats.org/drawingml/2006/picture">
                      <pic:pic xmlns:pic="http://schemas.openxmlformats.org/drawingml/2006/picture">
                        <pic:nvPicPr>
                          <pic:cNvPr id="25" name="图片_53"/>
                          <pic:cNvPicPr/>
                        </pic:nvPicPr>
                        <pic:blipFill>
                          <a:blip r:embed="rId54"/>
                          <a:stretch>
                            <a:fillRect/>
                          </a:stretch>
                        </pic:blipFill>
                        <pic:spPr>
                          <a:xfrm>
                            <a:off x="0" y="0"/>
                            <a:ext cx="344805" cy="2965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付</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15</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4560" behindDoc="0" locked="0" layoutInCell="1" allowOverlap="1">
                  <wp:simplePos x="0" y="0"/>
                  <wp:positionH relativeFrom="column">
                    <wp:posOffset>333375</wp:posOffset>
                  </wp:positionH>
                  <wp:positionV relativeFrom="paragraph">
                    <wp:posOffset>33020</wp:posOffset>
                  </wp:positionV>
                  <wp:extent cx="373380" cy="280670"/>
                  <wp:effectExtent l="0" t="0" r="7620" b="5080"/>
                  <wp:wrapNone/>
                  <wp:docPr id="26" name="图片_62"/>
                  <wp:cNvGraphicFramePr/>
                  <a:graphic xmlns:a="http://schemas.openxmlformats.org/drawingml/2006/main">
                    <a:graphicData uri="http://schemas.openxmlformats.org/drawingml/2006/picture">
                      <pic:pic xmlns:pic="http://schemas.openxmlformats.org/drawingml/2006/picture">
                        <pic:nvPicPr>
                          <pic:cNvPr id="26" name="图片_62"/>
                          <pic:cNvPicPr/>
                        </pic:nvPicPr>
                        <pic:blipFill>
                          <a:blip r:embed="rId55"/>
                          <a:stretch>
                            <a:fillRect/>
                          </a:stretch>
                        </pic:blipFill>
                        <pic:spPr>
                          <a:xfrm>
                            <a:off x="0" y="0"/>
                            <a:ext cx="373380" cy="2806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不锈钢封板</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5584" behindDoc="0" locked="0" layoutInCell="1" allowOverlap="1">
                  <wp:simplePos x="0" y="0"/>
                  <wp:positionH relativeFrom="column">
                    <wp:posOffset>155575</wp:posOffset>
                  </wp:positionH>
                  <wp:positionV relativeFrom="paragraph">
                    <wp:posOffset>81915</wp:posOffset>
                  </wp:positionV>
                  <wp:extent cx="643255" cy="516890"/>
                  <wp:effectExtent l="0" t="0" r="4445" b="16510"/>
                  <wp:wrapNone/>
                  <wp:docPr id="27" name="图片_56"/>
                  <wp:cNvGraphicFramePr/>
                  <a:graphic xmlns:a="http://schemas.openxmlformats.org/drawingml/2006/main">
                    <a:graphicData uri="http://schemas.openxmlformats.org/drawingml/2006/picture">
                      <pic:pic xmlns:pic="http://schemas.openxmlformats.org/drawingml/2006/picture">
                        <pic:nvPicPr>
                          <pic:cNvPr id="27" name="图片_56"/>
                          <pic:cNvPicPr/>
                        </pic:nvPicPr>
                        <pic:blipFill>
                          <a:blip r:embed="rId56"/>
                          <a:stretch>
                            <a:fillRect/>
                          </a:stretch>
                        </pic:blipFill>
                        <pic:spPr>
                          <a:xfrm>
                            <a:off x="0" y="0"/>
                            <a:ext cx="643255" cy="5168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排烟风柜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台</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6608" behindDoc="0" locked="0" layoutInCell="1" allowOverlap="1">
                  <wp:simplePos x="0" y="0"/>
                  <wp:positionH relativeFrom="column">
                    <wp:posOffset>239395</wp:posOffset>
                  </wp:positionH>
                  <wp:positionV relativeFrom="paragraph">
                    <wp:posOffset>40005</wp:posOffset>
                  </wp:positionV>
                  <wp:extent cx="542925" cy="469900"/>
                  <wp:effectExtent l="0" t="0" r="9525" b="6350"/>
                  <wp:wrapNone/>
                  <wp:docPr id="28" name="Picture_1074"/>
                  <wp:cNvGraphicFramePr/>
                  <a:graphic xmlns:a="http://schemas.openxmlformats.org/drawingml/2006/main">
                    <a:graphicData uri="http://schemas.openxmlformats.org/drawingml/2006/picture">
                      <pic:pic xmlns:pic="http://schemas.openxmlformats.org/drawingml/2006/picture">
                        <pic:nvPicPr>
                          <pic:cNvPr id="28" name="Picture_1074"/>
                          <pic:cNvPicPr/>
                        </pic:nvPicPr>
                        <pic:blipFill>
                          <a:blip r:embed="rId57"/>
                          <a:stretch>
                            <a:fillRect/>
                          </a:stretch>
                        </pic:blipFill>
                        <pic:spPr>
                          <a:xfrm>
                            <a:off x="0" y="0"/>
                            <a:ext cx="542925" cy="4699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产地品牌（参照或相当于）：德粤、保丽洁、双阳</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用电功率:18"5.5KW          处理风量：18500m³/H</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低空油烟净化器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台</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7632" behindDoc="0" locked="0" layoutInCell="1" allowOverlap="1">
                  <wp:simplePos x="0" y="0"/>
                  <wp:positionH relativeFrom="column">
                    <wp:posOffset>334645</wp:posOffset>
                  </wp:positionH>
                  <wp:positionV relativeFrom="paragraph">
                    <wp:posOffset>86995</wp:posOffset>
                  </wp:positionV>
                  <wp:extent cx="401955" cy="349885"/>
                  <wp:effectExtent l="0" t="0" r="17145" b="12065"/>
                  <wp:wrapNone/>
                  <wp:docPr id="29" name="Picture_1073"/>
                  <wp:cNvGraphicFramePr/>
                  <a:graphic xmlns:a="http://schemas.openxmlformats.org/drawingml/2006/main">
                    <a:graphicData uri="http://schemas.openxmlformats.org/drawingml/2006/picture">
                      <pic:pic xmlns:pic="http://schemas.openxmlformats.org/drawingml/2006/picture">
                        <pic:nvPicPr>
                          <pic:cNvPr id="29" name="Picture_1073"/>
                          <pic:cNvPicPr/>
                        </pic:nvPicPr>
                        <pic:blipFill>
                          <a:blip r:embed="rId58"/>
                          <a:stretch>
                            <a:fillRect/>
                          </a:stretch>
                        </pic:blipFill>
                        <pic:spPr>
                          <a:xfrm>
                            <a:off x="0" y="0"/>
                            <a:ext cx="401955" cy="349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产地品牌（参照或相当于）：德粤、科蓝、北沃</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用电功率:1KW          处理风量：18500m³/H</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排烟风机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8656" behindDoc="0" locked="0" layoutInCell="1" allowOverlap="1">
                  <wp:simplePos x="0" y="0"/>
                  <wp:positionH relativeFrom="column">
                    <wp:posOffset>387985</wp:posOffset>
                  </wp:positionH>
                  <wp:positionV relativeFrom="paragraph">
                    <wp:posOffset>22860</wp:posOffset>
                  </wp:positionV>
                  <wp:extent cx="304800" cy="303530"/>
                  <wp:effectExtent l="0" t="0" r="0" b="1270"/>
                  <wp:wrapNone/>
                  <wp:docPr id="30" name="图片_63"/>
                  <wp:cNvGraphicFramePr/>
                  <a:graphic xmlns:a="http://schemas.openxmlformats.org/drawingml/2006/main">
                    <a:graphicData uri="http://schemas.openxmlformats.org/drawingml/2006/picture">
                      <pic:pic xmlns:pic="http://schemas.openxmlformats.org/drawingml/2006/picture">
                        <pic:nvPicPr>
                          <pic:cNvPr id="30" name="图片_63"/>
                          <pic:cNvPicPr/>
                        </pic:nvPicPr>
                        <pic:blipFill>
                          <a:blip r:embed="rId59"/>
                          <a:stretch>
                            <a:fillRect/>
                          </a:stretch>
                        </pic:blipFill>
                        <pic:spPr>
                          <a:xfrm>
                            <a:off x="0" y="0"/>
                            <a:ext cx="304800" cy="3035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产地品牌（参照或相当于）：德粤、保丽洁、双阳</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风机支架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9680" behindDoc="0" locked="0" layoutInCell="1" allowOverlap="1">
                  <wp:simplePos x="0" y="0"/>
                  <wp:positionH relativeFrom="column">
                    <wp:posOffset>245110</wp:posOffset>
                  </wp:positionH>
                  <wp:positionV relativeFrom="paragraph">
                    <wp:posOffset>10795</wp:posOffset>
                  </wp:positionV>
                  <wp:extent cx="560705" cy="320675"/>
                  <wp:effectExtent l="0" t="0" r="10795" b="3175"/>
                  <wp:wrapNone/>
                  <wp:docPr id="31" name="图片_64"/>
                  <wp:cNvGraphicFramePr/>
                  <a:graphic xmlns:a="http://schemas.openxmlformats.org/drawingml/2006/main">
                    <a:graphicData uri="http://schemas.openxmlformats.org/drawingml/2006/picture">
                      <pic:pic xmlns:pic="http://schemas.openxmlformats.org/drawingml/2006/picture">
                        <pic:nvPicPr>
                          <pic:cNvPr id="31" name="图片_64"/>
                          <pic:cNvPicPr/>
                        </pic:nvPicPr>
                        <pic:blipFill>
                          <a:blip r:embed="rId60"/>
                          <a:stretch>
                            <a:fillRect/>
                          </a:stretch>
                        </pic:blipFill>
                        <pic:spPr>
                          <a:xfrm>
                            <a:off x="0" y="0"/>
                            <a:ext cx="560705" cy="3206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风柜支架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0704" behindDoc="0" locked="0" layoutInCell="1" allowOverlap="1">
                  <wp:simplePos x="0" y="0"/>
                  <wp:positionH relativeFrom="column">
                    <wp:posOffset>293370</wp:posOffset>
                  </wp:positionH>
                  <wp:positionV relativeFrom="paragraph">
                    <wp:posOffset>10160</wp:posOffset>
                  </wp:positionV>
                  <wp:extent cx="495300" cy="283845"/>
                  <wp:effectExtent l="0" t="0" r="0" b="1905"/>
                  <wp:wrapNone/>
                  <wp:docPr id="32" name="图片_69"/>
                  <wp:cNvGraphicFramePr/>
                  <a:graphic xmlns:a="http://schemas.openxmlformats.org/drawingml/2006/main">
                    <a:graphicData uri="http://schemas.openxmlformats.org/drawingml/2006/picture">
                      <pic:pic xmlns:pic="http://schemas.openxmlformats.org/drawingml/2006/picture">
                        <pic:nvPicPr>
                          <pic:cNvPr id="32" name="图片_69"/>
                          <pic:cNvPicPr/>
                        </pic:nvPicPr>
                        <pic:blipFill>
                          <a:blip r:embed="rId61"/>
                          <a:stretch>
                            <a:fillRect/>
                          </a:stretch>
                        </pic:blipFill>
                        <pic:spPr>
                          <a:xfrm>
                            <a:off x="0" y="0"/>
                            <a:ext cx="495300" cy="2838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净化器支架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1728" behindDoc="0" locked="0" layoutInCell="1" allowOverlap="1">
                  <wp:simplePos x="0" y="0"/>
                  <wp:positionH relativeFrom="column">
                    <wp:posOffset>311150</wp:posOffset>
                  </wp:positionH>
                  <wp:positionV relativeFrom="paragraph">
                    <wp:posOffset>19685</wp:posOffset>
                  </wp:positionV>
                  <wp:extent cx="519430" cy="299085"/>
                  <wp:effectExtent l="0" t="0" r="13970" b="5715"/>
                  <wp:wrapNone/>
                  <wp:docPr id="33" name="图片_70"/>
                  <wp:cNvGraphicFramePr/>
                  <a:graphic xmlns:a="http://schemas.openxmlformats.org/drawingml/2006/main">
                    <a:graphicData uri="http://schemas.openxmlformats.org/drawingml/2006/picture">
                      <pic:pic xmlns:pic="http://schemas.openxmlformats.org/drawingml/2006/picture">
                        <pic:nvPicPr>
                          <pic:cNvPr id="33" name="图片_70"/>
                          <pic:cNvPicPr/>
                        </pic:nvPicPr>
                        <pic:blipFill>
                          <a:blip r:embed="rId62"/>
                          <a:stretch>
                            <a:fillRect/>
                          </a:stretch>
                        </pic:blipFill>
                        <pic:spPr>
                          <a:xfrm>
                            <a:off x="0" y="0"/>
                            <a:ext cx="519430" cy="2990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防火阀</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2752" behindDoc="0" locked="0" layoutInCell="1" allowOverlap="1">
                  <wp:simplePos x="0" y="0"/>
                  <wp:positionH relativeFrom="column">
                    <wp:posOffset>387350</wp:posOffset>
                  </wp:positionH>
                  <wp:positionV relativeFrom="paragraph">
                    <wp:posOffset>14605</wp:posOffset>
                  </wp:positionV>
                  <wp:extent cx="297180" cy="316230"/>
                  <wp:effectExtent l="0" t="0" r="7620" b="7620"/>
                  <wp:wrapNone/>
                  <wp:docPr id="34" name="图片_9"/>
                  <wp:cNvGraphicFramePr/>
                  <a:graphic xmlns:a="http://schemas.openxmlformats.org/drawingml/2006/main">
                    <a:graphicData uri="http://schemas.openxmlformats.org/drawingml/2006/picture">
                      <pic:pic xmlns:pic="http://schemas.openxmlformats.org/drawingml/2006/picture">
                        <pic:nvPicPr>
                          <pic:cNvPr id="34" name="图片_9"/>
                          <pic:cNvPicPr/>
                        </pic:nvPicPr>
                        <pic:blipFill>
                          <a:blip r:embed="rId63"/>
                          <a:stretch>
                            <a:fillRect/>
                          </a:stretch>
                        </pic:blipFill>
                        <pic:spPr>
                          <a:xfrm>
                            <a:off x="0" y="0"/>
                            <a:ext cx="297180" cy="3162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防震软件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3776" behindDoc="0" locked="0" layoutInCell="1" allowOverlap="1">
                  <wp:simplePos x="0" y="0"/>
                  <wp:positionH relativeFrom="column">
                    <wp:posOffset>388620</wp:posOffset>
                  </wp:positionH>
                  <wp:positionV relativeFrom="paragraph">
                    <wp:posOffset>20955</wp:posOffset>
                  </wp:positionV>
                  <wp:extent cx="333375" cy="301625"/>
                  <wp:effectExtent l="0" t="0" r="9525" b="3175"/>
                  <wp:wrapNone/>
                  <wp:docPr id="35" name="图片_72"/>
                  <wp:cNvGraphicFramePr/>
                  <a:graphic xmlns:a="http://schemas.openxmlformats.org/drawingml/2006/main">
                    <a:graphicData uri="http://schemas.openxmlformats.org/drawingml/2006/picture">
                      <pic:pic xmlns:pic="http://schemas.openxmlformats.org/drawingml/2006/picture">
                        <pic:nvPicPr>
                          <pic:cNvPr id="35" name="图片_72"/>
                          <pic:cNvPicPr/>
                        </pic:nvPicPr>
                        <pic:blipFill>
                          <a:blip r:embed="rId64"/>
                          <a:stretch>
                            <a:fillRect/>
                          </a:stretch>
                        </pic:blipFill>
                        <pic:spPr>
                          <a:xfrm>
                            <a:off x="0" y="0"/>
                            <a:ext cx="333375" cy="3016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智能变频控制器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4800" behindDoc="0" locked="0" layoutInCell="1" allowOverlap="1">
                  <wp:simplePos x="0" y="0"/>
                  <wp:positionH relativeFrom="column">
                    <wp:posOffset>355600</wp:posOffset>
                  </wp:positionH>
                  <wp:positionV relativeFrom="paragraph">
                    <wp:posOffset>27305</wp:posOffset>
                  </wp:positionV>
                  <wp:extent cx="349885" cy="287020"/>
                  <wp:effectExtent l="0" t="0" r="12065" b="17780"/>
                  <wp:wrapNone/>
                  <wp:docPr id="36" name="图片_578"/>
                  <wp:cNvGraphicFramePr/>
                  <a:graphic xmlns:a="http://schemas.openxmlformats.org/drawingml/2006/main">
                    <a:graphicData uri="http://schemas.openxmlformats.org/drawingml/2006/picture">
                      <pic:pic xmlns:pic="http://schemas.openxmlformats.org/drawingml/2006/picture">
                        <pic:nvPicPr>
                          <pic:cNvPr id="36" name="图片_578"/>
                          <pic:cNvPicPr/>
                        </pic:nvPicPr>
                        <pic:blipFill>
                          <a:blip r:embed="rId65"/>
                          <a:stretch>
                            <a:fillRect/>
                          </a:stretch>
                        </pic:blipFill>
                        <pic:spPr>
                          <a:xfrm>
                            <a:off x="0" y="0"/>
                            <a:ext cx="349885" cy="2870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其他</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灭蝇灯</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10</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5824" behindDoc="0" locked="0" layoutInCell="1" allowOverlap="1">
                  <wp:simplePos x="0" y="0"/>
                  <wp:positionH relativeFrom="column">
                    <wp:posOffset>267970</wp:posOffset>
                  </wp:positionH>
                  <wp:positionV relativeFrom="paragraph">
                    <wp:posOffset>40005</wp:posOffset>
                  </wp:positionV>
                  <wp:extent cx="436245" cy="286385"/>
                  <wp:effectExtent l="0" t="0" r="1905" b="18415"/>
                  <wp:wrapNone/>
                  <wp:docPr id="37" name="图片_74"/>
                  <wp:cNvGraphicFramePr/>
                  <a:graphic xmlns:a="http://schemas.openxmlformats.org/drawingml/2006/main">
                    <a:graphicData uri="http://schemas.openxmlformats.org/drawingml/2006/picture">
                      <pic:pic xmlns:pic="http://schemas.openxmlformats.org/drawingml/2006/picture">
                        <pic:nvPicPr>
                          <pic:cNvPr id="37" name="图片_74"/>
                          <pic:cNvPicPr/>
                        </pic:nvPicPr>
                        <pic:blipFill>
                          <a:blip r:embed="rId66"/>
                          <a:stretch>
                            <a:fillRect/>
                          </a:stretch>
                        </pic:blipFill>
                        <pic:spPr>
                          <a:xfrm>
                            <a:off x="0" y="0"/>
                            <a:ext cx="436245" cy="2863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产地品牌（参照或相当于）：海克、亨得利、蝇博士</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紫外线消毒灯</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4</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6848" behindDoc="0" locked="0" layoutInCell="1" allowOverlap="1">
                  <wp:simplePos x="0" y="0"/>
                  <wp:positionH relativeFrom="column">
                    <wp:posOffset>3763645</wp:posOffset>
                  </wp:positionH>
                  <wp:positionV relativeFrom="paragraph">
                    <wp:posOffset>101600</wp:posOffset>
                  </wp:positionV>
                  <wp:extent cx="339090" cy="254635"/>
                  <wp:effectExtent l="0" t="0" r="3810" b="12065"/>
                  <wp:wrapNone/>
                  <wp:docPr id="38" name="图片_75"/>
                  <wp:cNvGraphicFramePr/>
                  <a:graphic xmlns:a="http://schemas.openxmlformats.org/drawingml/2006/main">
                    <a:graphicData uri="http://schemas.openxmlformats.org/drawingml/2006/picture">
                      <pic:pic xmlns:pic="http://schemas.openxmlformats.org/drawingml/2006/picture">
                        <pic:nvPicPr>
                          <pic:cNvPr id="38" name="图片_75"/>
                          <pic:cNvPicPr/>
                        </pic:nvPicPr>
                        <pic:blipFill>
                          <a:blip r:embed="rId67"/>
                          <a:stretch>
                            <a:fillRect/>
                          </a:stretch>
                        </pic:blipFill>
                        <pic:spPr>
                          <a:xfrm>
                            <a:off x="0" y="0"/>
                            <a:ext cx="339090" cy="254635"/>
                          </a:xfrm>
                          <a:prstGeom prst="rect">
                            <a:avLst/>
                          </a:prstGeom>
                          <a:noFill/>
                          <a:ln>
                            <a:noFill/>
                          </a:ln>
                        </pic:spPr>
                      </pic:pic>
                    </a:graphicData>
                  </a:graphic>
                </wp:anchor>
              </w:drawing>
            </w:r>
            <w:r>
              <w:rPr>
                <w:rFonts w:hint="eastAsia" w:ascii="宋体" w:hAnsi="宋体" w:cs="宋体"/>
                <w:color w:val="000000"/>
                <w:sz w:val="22"/>
                <w:szCs w:val="22"/>
                <w:lang w:bidi="ar"/>
              </w:rPr>
              <w:t>产地品牌（参照或相当于）：飞利浦、汤玛斯、金卫士</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单门消毒柜（玻璃门，一楼二楼各一只）</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7872" behindDoc="0" locked="0" layoutInCell="1" allowOverlap="1">
                  <wp:simplePos x="0" y="0"/>
                  <wp:positionH relativeFrom="column">
                    <wp:posOffset>385445</wp:posOffset>
                  </wp:positionH>
                  <wp:positionV relativeFrom="paragraph">
                    <wp:posOffset>320040</wp:posOffset>
                  </wp:positionV>
                  <wp:extent cx="521970" cy="918210"/>
                  <wp:effectExtent l="0" t="0" r="11430" b="15240"/>
                  <wp:wrapNone/>
                  <wp:docPr id="39" name="图片_20"/>
                  <wp:cNvGraphicFramePr/>
                  <a:graphic xmlns:a="http://schemas.openxmlformats.org/drawingml/2006/main">
                    <a:graphicData uri="http://schemas.openxmlformats.org/drawingml/2006/picture">
                      <pic:pic xmlns:pic="http://schemas.openxmlformats.org/drawingml/2006/picture">
                        <pic:nvPicPr>
                          <pic:cNvPr id="39" name="图片_20"/>
                          <pic:cNvPicPr/>
                        </pic:nvPicPr>
                        <pic:blipFill>
                          <a:blip r:embed="rId68"/>
                          <a:stretch>
                            <a:fillRect/>
                          </a:stretch>
                        </pic:blipFill>
                        <pic:spPr>
                          <a:xfrm>
                            <a:off x="0" y="0"/>
                            <a:ext cx="521970" cy="9182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产地品牌（参照或相当于）：康庭、康宝、索奇</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说明：高温消毒，零到</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一百度，恒温定时控制。</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规格：600×550×1680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51" w:hRule="atLeast"/>
        </w:trPr>
        <w:tc>
          <w:tcPr>
            <w:tcW w:w="1705"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3P吸顶空调</w:t>
            </w:r>
          </w:p>
        </w:tc>
        <w:tc>
          <w:tcPr>
            <w:tcW w:w="656"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只</w:t>
            </w:r>
          </w:p>
        </w:tc>
        <w:tc>
          <w:tcPr>
            <w:tcW w:w="903"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c>
          <w:tcPr>
            <w:tcW w:w="2319"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51" w:hRule="atLeast"/>
        </w:trPr>
        <w:tc>
          <w:tcPr>
            <w:tcW w:w="1705"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产地品牌（参照或相当于）：格力、海尔、大金</w:t>
            </w:r>
          </w:p>
        </w:tc>
        <w:tc>
          <w:tcPr>
            <w:tcW w:w="656"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903"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2319"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r>
      <w:tr>
        <w:tblPrEx>
          <w:tblCellMar>
            <w:top w:w="0" w:type="dxa"/>
            <w:left w:w="108" w:type="dxa"/>
            <w:bottom w:w="0" w:type="dxa"/>
            <w:right w:w="108" w:type="dxa"/>
          </w:tblCellMar>
        </w:tblPrEx>
        <w:trPr>
          <w:trHeight w:val="156" w:hRule="atLeast"/>
        </w:trPr>
        <w:tc>
          <w:tcPr>
            <w:tcW w:w="1705"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1.5P空调</w:t>
            </w:r>
          </w:p>
        </w:tc>
        <w:tc>
          <w:tcPr>
            <w:tcW w:w="656"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只</w:t>
            </w:r>
          </w:p>
        </w:tc>
        <w:tc>
          <w:tcPr>
            <w:tcW w:w="903"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2319"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56" w:hRule="atLeast"/>
        </w:trPr>
        <w:tc>
          <w:tcPr>
            <w:tcW w:w="1705"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产地品牌（参照或相当于）：格力、海尔、大金</w:t>
            </w:r>
          </w:p>
        </w:tc>
        <w:tc>
          <w:tcPr>
            <w:tcW w:w="656"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903"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2319"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r>
    </w:tbl>
    <w:p>
      <w:pPr>
        <w:autoSpaceDE w:val="0"/>
        <w:autoSpaceDN w:val="0"/>
        <w:adjustRightInd w:val="0"/>
        <w:spacing w:line="360" w:lineRule="auto"/>
        <w:ind w:firstLine="482" w:firstLineChars="200"/>
        <w:jc w:val="left"/>
        <w:rPr>
          <w:rFonts w:ascii="宋体"/>
          <w:b/>
          <w:bCs/>
          <w:sz w:val="24"/>
        </w:rPr>
      </w:pPr>
      <w:r>
        <w:rPr>
          <w:rFonts w:hint="eastAsia" w:ascii="宋体"/>
          <w:b/>
          <w:bCs/>
          <w:sz w:val="24"/>
        </w:rPr>
        <w:t>注：1</w:t>
      </w:r>
      <w:r>
        <w:rPr>
          <w:rFonts w:hint="default" w:ascii="宋体"/>
          <w:b/>
          <w:bCs/>
          <w:sz w:val="24"/>
        </w:rPr>
        <w:t>.</w:t>
      </w:r>
      <w:r>
        <w:rPr>
          <w:rFonts w:hint="eastAsia" w:ascii="宋体"/>
          <w:b/>
          <w:bCs/>
          <w:sz w:val="24"/>
        </w:rPr>
        <w:t>在本章中，为了方便起见，可能会采取按某种品牌货物的规格和型号予以表述，但并不因此限制或者拒绝投标人以其他能满足本项目技术需求且性能与所明确品牌相当或更优的货物参加投标，如投标的货物优于采购要求，请在偏离表内具体表述正偏离内容及理由。</w:t>
      </w:r>
    </w:p>
    <w:p>
      <w:pPr>
        <w:autoSpaceDE w:val="0"/>
        <w:autoSpaceDN w:val="0"/>
        <w:adjustRightInd w:val="0"/>
        <w:spacing w:line="360" w:lineRule="auto"/>
        <w:ind w:firstLine="482" w:firstLineChars="200"/>
        <w:jc w:val="left"/>
        <w:rPr>
          <w:rFonts w:hint="eastAsia" w:ascii="宋体"/>
          <w:b/>
          <w:bCs/>
          <w:sz w:val="24"/>
        </w:rPr>
      </w:pPr>
      <w:r>
        <w:rPr>
          <w:rFonts w:ascii="宋体"/>
          <w:b/>
          <w:bCs/>
          <w:sz w:val="24"/>
        </w:rPr>
        <w:t xml:space="preserve"> </w:t>
      </w:r>
      <w:r>
        <w:rPr>
          <w:rFonts w:hint="eastAsia" w:ascii="宋体"/>
          <w:b/>
          <w:bCs/>
          <w:sz w:val="24"/>
        </w:rPr>
        <w:t>2</w:t>
      </w:r>
      <w:r>
        <w:rPr>
          <w:rFonts w:hint="default" w:ascii="宋体"/>
          <w:b/>
          <w:bCs/>
          <w:sz w:val="24"/>
        </w:rPr>
        <w:t>.</w:t>
      </w:r>
      <w:r>
        <w:rPr>
          <w:rFonts w:hint="eastAsia" w:ascii="宋体"/>
          <w:b/>
          <w:bCs/>
          <w:sz w:val="24"/>
        </w:rPr>
        <w:t>★中标候选人</w:t>
      </w:r>
      <w:r>
        <w:rPr>
          <w:rFonts w:hint="eastAsia" w:ascii="宋体"/>
          <w:b/>
          <w:bCs/>
          <w:sz w:val="24"/>
          <w:lang w:eastAsia="zh-CN"/>
        </w:rPr>
        <w:t>须在中标后</w:t>
      </w:r>
      <w:r>
        <w:rPr>
          <w:rFonts w:hint="eastAsia" w:ascii="宋体"/>
          <w:b/>
          <w:bCs/>
          <w:sz w:val="24"/>
        </w:rPr>
        <w:t>3日内提供技术文件中所需的所有证明文件并加盖公章（原件备查）</w:t>
      </w:r>
      <w:r>
        <w:rPr>
          <w:rFonts w:hint="eastAsia" w:ascii="宋体"/>
          <w:b/>
          <w:bCs/>
          <w:sz w:val="24"/>
          <w:lang w:eastAsia="zh-CN"/>
        </w:rPr>
        <w:t>，</w:t>
      </w:r>
      <w:r>
        <w:rPr>
          <w:rFonts w:hint="eastAsia" w:ascii="宋体"/>
          <w:b/>
          <w:bCs/>
          <w:sz w:val="24"/>
        </w:rPr>
        <w:t>若中标候选人在规定时间内未提供或提供不全的，</w:t>
      </w:r>
      <w:r>
        <w:rPr>
          <w:rFonts w:hint="eastAsia" w:ascii="宋体"/>
          <w:b/>
          <w:bCs/>
          <w:sz w:val="24"/>
          <w:lang w:eastAsia="zh-CN"/>
        </w:rPr>
        <w:t>采购单位</w:t>
      </w:r>
      <w:r>
        <w:rPr>
          <w:rFonts w:hint="eastAsia" w:ascii="宋体"/>
          <w:b/>
          <w:bCs/>
          <w:sz w:val="24"/>
        </w:rPr>
        <w:t>有权不与</w:t>
      </w:r>
      <w:r>
        <w:rPr>
          <w:rFonts w:hint="eastAsia" w:ascii="宋体"/>
          <w:b/>
          <w:bCs/>
          <w:sz w:val="24"/>
          <w:lang w:eastAsia="zh-CN"/>
        </w:rPr>
        <w:t>其</w:t>
      </w:r>
      <w:r>
        <w:rPr>
          <w:rFonts w:hint="eastAsia" w:ascii="宋体"/>
          <w:b/>
          <w:bCs/>
          <w:sz w:val="24"/>
        </w:rPr>
        <w:t>签订合同，并保留追究其在招投标活动中的欺诈行为的法律责任，所产生的一切</w:t>
      </w:r>
      <w:r>
        <w:rPr>
          <w:rFonts w:hint="eastAsia" w:ascii="宋体"/>
          <w:b/>
          <w:bCs/>
          <w:sz w:val="24"/>
          <w:lang w:eastAsia="zh-CN"/>
        </w:rPr>
        <w:t>损失</w:t>
      </w:r>
      <w:r>
        <w:rPr>
          <w:rFonts w:hint="eastAsia" w:ascii="宋体"/>
          <w:b/>
          <w:bCs/>
          <w:sz w:val="24"/>
        </w:rPr>
        <w:t>由中标候选人承担。</w:t>
      </w:r>
    </w:p>
    <w:p>
      <w:pPr>
        <w:pStyle w:val="2"/>
      </w:pPr>
    </w:p>
    <w:p>
      <w:pPr>
        <w:pStyle w:val="5"/>
        <w:numPr>
          <w:ilvl w:val="0"/>
          <w:numId w:val="15"/>
        </w:numPr>
        <w:spacing w:line="720" w:lineRule="auto"/>
        <w:jc w:val="center"/>
        <w:rPr>
          <w:rFonts w:hint="eastAsia"/>
          <w:kern w:val="0"/>
          <w:sz w:val="30"/>
          <w:szCs w:val="30"/>
        </w:rPr>
      </w:pPr>
      <w:r>
        <w:rPr>
          <w:rFonts w:hint="eastAsia"/>
          <w:kern w:val="0"/>
          <w:sz w:val="30"/>
          <w:szCs w:val="30"/>
        </w:rPr>
        <w:t>付款方式</w:t>
      </w:r>
    </w:p>
    <w:p>
      <w:pPr>
        <w:numPr>
          <w:ilvl w:val="-1"/>
          <w:numId w:val="0"/>
        </w:numPr>
        <w:spacing w:line="360" w:lineRule="auto"/>
        <w:ind w:firstLine="482" w:firstLineChars="200"/>
        <w:rPr>
          <w:color w:val="auto"/>
        </w:rPr>
      </w:pPr>
      <w:r>
        <w:rPr>
          <w:rFonts w:hint="eastAsia" w:ascii="宋体" w:hAnsi="宋体" w:cs="宋体"/>
          <w:b/>
          <w:bCs/>
          <w:color w:val="auto"/>
          <w:sz w:val="24"/>
          <w:szCs w:val="24"/>
          <w:highlight w:val="none"/>
          <w:lang w:val="en-US" w:eastAsia="zh-CN"/>
        </w:rPr>
        <w:t>1</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中标人在收到中标通知书后，需向采购人提供合同总价1%的履约保证金；在完成全部供货并提交全部资料并通过验收合格后退还（不计息）</w:t>
      </w:r>
      <w:r>
        <w:rPr>
          <w:rFonts w:hint="eastAsia" w:ascii="宋体" w:hAnsi="宋体"/>
          <w:color w:val="auto"/>
          <w:sz w:val="24"/>
          <w:szCs w:val="24"/>
        </w:rPr>
        <w:t>，</w:t>
      </w:r>
      <w:r>
        <w:rPr>
          <w:rFonts w:hint="default" w:ascii="宋体" w:hAnsi="宋体"/>
          <w:color w:val="auto"/>
          <w:sz w:val="24"/>
          <w:szCs w:val="24"/>
        </w:rPr>
        <w:t>中标人</w:t>
      </w:r>
      <w:r>
        <w:rPr>
          <w:rFonts w:hint="eastAsia" w:ascii="宋体" w:hAnsi="宋体"/>
          <w:color w:val="auto"/>
          <w:sz w:val="24"/>
          <w:szCs w:val="24"/>
        </w:rPr>
        <w:t>以保函形式提交履约担保的，保函自动失效（由于中标人引起的工期延误的，则履约担保有效期顺延）</w:t>
      </w:r>
      <w:r>
        <w:rPr>
          <w:rFonts w:hint="eastAsia" w:ascii="宋体" w:hAnsi="宋体" w:cs="宋体"/>
          <w:b/>
          <w:bCs/>
          <w:color w:val="auto"/>
          <w:sz w:val="24"/>
          <w:szCs w:val="24"/>
          <w:highlight w:val="none"/>
        </w:rPr>
        <w:t>。</w:t>
      </w:r>
    </w:p>
    <w:p>
      <w:pPr>
        <w:spacing w:line="360" w:lineRule="auto"/>
        <w:ind w:firstLine="482" w:firstLineChars="200"/>
        <w:rPr>
          <w:rFonts w:hint="eastAsia"/>
          <w:color w:val="auto"/>
          <w:sz w:val="24"/>
          <w:szCs w:val="24"/>
          <w:highlight w:val="none"/>
        </w:rPr>
      </w:pPr>
      <w:r>
        <w:rPr>
          <w:rFonts w:hint="eastAsia" w:ascii="宋体" w:hAnsi="宋体" w:cs="宋体"/>
          <w:b/>
          <w:bCs/>
          <w:color w:val="auto"/>
          <w:sz w:val="24"/>
          <w:szCs w:val="24"/>
          <w:highlight w:val="none"/>
          <w:lang w:val="en-US" w:eastAsia="zh-CN"/>
        </w:rPr>
        <w:t>2</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验收合格</w:t>
      </w:r>
      <w:r>
        <w:rPr>
          <w:rFonts w:hint="eastAsia" w:ascii="宋体" w:hAnsi="宋体" w:cs="宋体"/>
          <w:b/>
          <w:bCs/>
          <w:color w:val="auto"/>
          <w:sz w:val="24"/>
          <w:szCs w:val="24"/>
          <w:highlight w:val="none"/>
          <w:lang w:eastAsia="zh-CN"/>
        </w:rPr>
        <w:t>后</w:t>
      </w:r>
      <w:r>
        <w:rPr>
          <w:rFonts w:hint="eastAsia" w:ascii="宋体" w:hAnsi="宋体" w:cs="宋体"/>
          <w:b/>
          <w:bCs/>
          <w:color w:val="auto"/>
          <w:sz w:val="24"/>
          <w:szCs w:val="24"/>
          <w:highlight w:val="none"/>
        </w:rPr>
        <w:t>支付至</w:t>
      </w:r>
      <w:r>
        <w:rPr>
          <w:rFonts w:hint="eastAsia" w:ascii="宋体" w:hAnsi="宋体" w:cs="宋体"/>
          <w:b/>
          <w:bCs/>
          <w:color w:val="auto"/>
          <w:sz w:val="24"/>
          <w:szCs w:val="24"/>
          <w:highlight w:val="none"/>
          <w:lang w:eastAsia="zh-CN"/>
        </w:rPr>
        <w:t>合同价</w:t>
      </w:r>
      <w:r>
        <w:rPr>
          <w:rFonts w:hint="eastAsia" w:ascii="宋体" w:hAnsi="宋体" w:cs="宋体"/>
          <w:b/>
          <w:bCs/>
          <w:color w:val="auto"/>
          <w:sz w:val="24"/>
          <w:szCs w:val="24"/>
          <w:highlight w:val="none"/>
        </w:rPr>
        <w:t>的9</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%，同时提供税率为13%的全额增值税专用发票；剩余的</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%在质保期满后支付。</w:t>
      </w:r>
    </w:p>
    <w:p/>
    <w:p>
      <w:pPr>
        <w:pStyle w:val="5"/>
        <w:jc w:val="center"/>
        <w:rPr>
          <w:rFonts w:cs="Times New Roman" w:asciiTheme="minorEastAsia" w:hAnsiTheme="minorEastAsia" w:eastAsiaTheme="minorEastAsia"/>
          <w:sz w:val="36"/>
          <w:szCs w:val="36"/>
        </w:rPr>
      </w:pPr>
      <w:r>
        <w:rPr>
          <w:rFonts w:hint="eastAsia" w:cs="宋体" w:asciiTheme="minorEastAsia" w:hAnsiTheme="minorEastAsia" w:eastAsiaTheme="minorEastAsia"/>
          <w:sz w:val="36"/>
          <w:szCs w:val="36"/>
        </w:rPr>
        <w:t>第四部分</w:t>
      </w:r>
      <w:bookmarkEnd w:id="79"/>
      <w:r>
        <w:rPr>
          <w:rFonts w:hint="eastAsia" w:cs="宋体" w:asciiTheme="minorEastAsia" w:hAnsiTheme="minorEastAsia" w:eastAsiaTheme="minorEastAsia"/>
          <w:sz w:val="36"/>
          <w:szCs w:val="36"/>
        </w:rPr>
        <w:t>询价细则及询价方法</w:t>
      </w:r>
      <w:bookmarkEnd w:id="84"/>
    </w:p>
    <w:p>
      <w:pPr>
        <w:pStyle w:val="2"/>
        <w:numPr>
          <w:ilvl w:val="0"/>
          <w:numId w:val="16"/>
        </w:numPr>
        <w:jc w:val="center"/>
        <w:rPr>
          <w:rFonts w:cs="Times New Roman" w:asciiTheme="minorEastAsia" w:hAnsiTheme="minorEastAsia" w:eastAsiaTheme="minorEastAsia"/>
        </w:rPr>
      </w:pPr>
      <w:bookmarkStart w:id="87" w:name="_Toc110244165"/>
      <w:bookmarkStart w:id="88" w:name="_Toc1265"/>
      <w:r>
        <w:rPr>
          <w:rFonts w:hint="eastAsia" w:asciiTheme="minorEastAsia" w:hAnsiTheme="minorEastAsia" w:eastAsiaTheme="minorEastAsia"/>
        </w:rPr>
        <w:t>询价原则</w:t>
      </w:r>
      <w:bookmarkEnd w:id="87"/>
      <w:bookmarkEnd w:id="88"/>
    </w:p>
    <w:p>
      <w:pPr>
        <w:pStyle w:val="3"/>
        <w:spacing w:line="360" w:lineRule="auto"/>
        <w:ind w:firstLine="480" w:firstLineChars="200"/>
        <w:rPr>
          <w:rFonts w:ascii="宋体" w:hAnsi="宋体" w:cs="宋体"/>
          <w:sz w:val="24"/>
          <w:szCs w:val="22"/>
        </w:rPr>
      </w:pPr>
      <w:r>
        <w:rPr>
          <w:rFonts w:hint="eastAsia" w:ascii="宋体" w:hAnsi="宋体" w:cs="宋体"/>
          <w:sz w:val="24"/>
          <w:szCs w:val="22"/>
        </w:rPr>
        <w:t>1</w:t>
      </w:r>
      <w:r>
        <w:rPr>
          <w:rFonts w:hint="default" w:ascii="宋体" w:hAnsi="宋体" w:cs="宋体"/>
          <w:sz w:val="24"/>
          <w:szCs w:val="22"/>
        </w:rPr>
        <w:t>.</w:t>
      </w:r>
      <w:r>
        <w:rPr>
          <w:rFonts w:hint="eastAsia" w:ascii="宋体" w:hAnsi="宋体" w:cs="宋体"/>
          <w:sz w:val="24"/>
          <w:szCs w:val="22"/>
        </w:rPr>
        <w:t>本次询价本着公平、公正、科学、择优的原则，邀请各询价供应商参加。</w:t>
      </w:r>
    </w:p>
    <w:p>
      <w:pPr>
        <w:pStyle w:val="3"/>
        <w:spacing w:line="360" w:lineRule="auto"/>
        <w:ind w:firstLine="480" w:firstLineChars="200"/>
        <w:rPr>
          <w:rFonts w:ascii="宋体" w:hAnsi="宋体" w:cs="宋体"/>
          <w:sz w:val="24"/>
          <w:szCs w:val="22"/>
        </w:rPr>
      </w:pPr>
      <w:r>
        <w:rPr>
          <w:rFonts w:hint="eastAsia" w:ascii="宋体" w:hAnsi="宋体" w:cs="宋体"/>
          <w:sz w:val="24"/>
          <w:szCs w:val="22"/>
        </w:rPr>
        <w:t>2</w:t>
      </w:r>
      <w:r>
        <w:rPr>
          <w:rFonts w:hint="default" w:ascii="宋体" w:hAnsi="宋体" w:cs="宋体"/>
          <w:sz w:val="24"/>
          <w:szCs w:val="22"/>
        </w:rPr>
        <w:t>.</w:t>
      </w:r>
      <w:r>
        <w:rPr>
          <w:rFonts w:hint="eastAsia" w:ascii="宋体" w:hAnsi="宋体" w:cs="宋体"/>
          <w:sz w:val="24"/>
          <w:szCs w:val="22"/>
        </w:rPr>
        <w:t>询价小组将严格按照询价文件的要求，对供应商的响应文件进行认真评审；询价小组对响应文件的评审仅依据响应文件本身，而不依据响应文件以外的任何因素。</w:t>
      </w:r>
    </w:p>
    <w:p>
      <w:pPr>
        <w:pStyle w:val="3"/>
        <w:spacing w:line="336" w:lineRule="auto"/>
        <w:ind w:firstLine="480" w:firstLineChars="200"/>
        <w:rPr>
          <w:rFonts w:asciiTheme="minorEastAsia" w:hAnsiTheme="minorEastAsia" w:eastAsiaTheme="minorEastAsia"/>
          <w:sz w:val="24"/>
          <w:szCs w:val="24"/>
        </w:rPr>
      </w:pPr>
      <w:r>
        <w:rPr>
          <w:rFonts w:hint="eastAsia" w:ascii="宋体" w:hAnsi="宋体" w:cs="宋体"/>
          <w:sz w:val="24"/>
          <w:szCs w:val="22"/>
        </w:rPr>
        <w:t>3</w:t>
      </w:r>
      <w:r>
        <w:rPr>
          <w:rFonts w:hint="default" w:ascii="宋体" w:hAnsi="宋体" w:cs="宋体"/>
          <w:sz w:val="24"/>
          <w:szCs w:val="22"/>
        </w:rPr>
        <w:t>.</w:t>
      </w:r>
      <w:r>
        <w:rPr>
          <w:rFonts w:hint="eastAsia" w:ascii="宋体" w:hAnsi="宋体" w:cs="宋体"/>
          <w:sz w:val="24"/>
          <w:szCs w:val="22"/>
        </w:rPr>
        <w:t>询价小组按照统一的询价原则和询价方法，用同一标准对所有响应文件进行评审。</w:t>
      </w:r>
    </w:p>
    <w:p>
      <w:pPr>
        <w:pStyle w:val="2"/>
        <w:numPr>
          <w:ilvl w:val="0"/>
          <w:numId w:val="16"/>
        </w:numPr>
        <w:jc w:val="center"/>
        <w:rPr>
          <w:rFonts w:cs="Times New Roman" w:asciiTheme="minorEastAsia" w:hAnsiTheme="minorEastAsia" w:eastAsiaTheme="minorEastAsia"/>
        </w:rPr>
      </w:pPr>
      <w:bookmarkStart w:id="89" w:name="_Toc10093"/>
      <w:bookmarkStart w:id="90" w:name="_Toc110244166"/>
      <w:r>
        <w:rPr>
          <w:rFonts w:hint="eastAsia" w:asciiTheme="minorEastAsia" w:hAnsiTheme="minorEastAsia" w:eastAsiaTheme="minorEastAsia"/>
        </w:rPr>
        <w:t>询价程序</w:t>
      </w:r>
      <w:bookmarkEnd w:id="89"/>
      <w:bookmarkEnd w:id="90"/>
    </w:p>
    <w:p>
      <w:pPr>
        <w:pStyle w:val="15"/>
        <w:spacing w:line="360" w:lineRule="auto"/>
        <w:ind w:firstLine="482" w:firstLineChars="200"/>
        <w:rPr>
          <w:rFonts w:hAnsi="宋体"/>
          <w:b/>
          <w:sz w:val="24"/>
          <w:szCs w:val="24"/>
        </w:rPr>
      </w:pPr>
      <w:r>
        <w:rPr>
          <w:rFonts w:hint="eastAsia" w:hAnsi="宋体"/>
          <w:b/>
          <w:sz w:val="24"/>
          <w:szCs w:val="24"/>
        </w:rPr>
        <w:t>1</w:t>
      </w:r>
      <w:r>
        <w:rPr>
          <w:rFonts w:hint="default" w:hAnsi="宋体"/>
          <w:b/>
          <w:sz w:val="24"/>
          <w:szCs w:val="24"/>
        </w:rPr>
        <w:t>.</w:t>
      </w:r>
      <w:r>
        <w:rPr>
          <w:rFonts w:hint="eastAsia" w:hAnsi="宋体"/>
          <w:b/>
          <w:sz w:val="24"/>
          <w:szCs w:val="24"/>
        </w:rPr>
        <w:t>评审</w:t>
      </w:r>
    </w:p>
    <w:p>
      <w:pPr>
        <w:pStyle w:val="15"/>
        <w:spacing w:line="360" w:lineRule="auto"/>
        <w:ind w:firstLine="480" w:firstLineChars="200"/>
        <w:rPr>
          <w:rFonts w:hAnsi="宋体"/>
          <w:sz w:val="24"/>
        </w:rPr>
      </w:pPr>
      <w:r>
        <w:rPr>
          <w:rFonts w:hint="eastAsia" w:hAnsi="宋体"/>
          <w:sz w:val="24"/>
        </w:rPr>
        <w:t>1.1在询价响应截止时间前按规定提交响应文件的供应商在三家（含）以上的，由采购人或采购代理机构组织进行开标。</w:t>
      </w:r>
    </w:p>
    <w:p>
      <w:pPr>
        <w:pStyle w:val="15"/>
        <w:spacing w:line="360" w:lineRule="auto"/>
        <w:ind w:firstLine="482" w:firstLineChars="200"/>
        <w:rPr>
          <w:rFonts w:hAnsi="宋体"/>
          <w:sz w:val="24"/>
          <w:szCs w:val="24"/>
        </w:rPr>
      </w:pPr>
      <w:r>
        <w:rPr>
          <w:rFonts w:hint="eastAsia" w:hAnsi="宋体"/>
          <w:b/>
          <w:bCs/>
          <w:sz w:val="24"/>
        </w:rPr>
        <w:t>1.2供应商登录政采云平台，用“项目采购-开标评标”功能对电子询价响应文件进行在线解密。在线解密电子询价响应文件时间为开标时间起30分钟内。若电子询价响应文件解密失败，则由采购代理机构工作人员上传供应商提供的备份文件。</w:t>
      </w:r>
      <w:r>
        <w:rPr>
          <w:rFonts w:hint="eastAsia" w:hAnsi="宋体"/>
          <w:sz w:val="24"/>
          <w:szCs w:val="24"/>
        </w:rPr>
        <w:t>备份文件（后缀名为.bfbs）须存储在U盘中，与上传的电子询价响应文件一致，用信封进行密封并盖章，由授权代表在询价响应截止时间前递交至开标地点。</w:t>
      </w:r>
    </w:p>
    <w:p>
      <w:pPr>
        <w:pStyle w:val="15"/>
        <w:spacing w:line="360" w:lineRule="auto"/>
        <w:ind w:firstLine="480" w:firstLineChars="200"/>
        <w:rPr>
          <w:rFonts w:hAnsi="宋体"/>
          <w:sz w:val="24"/>
        </w:rPr>
      </w:pPr>
      <w:r>
        <w:rPr>
          <w:rFonts w:hint="eastAsia" w:hAnsi="宋体"/>
          <w:sz w:val="24"/>
        </w:rPr>
        <w:t>1.3采购人按询价文件规定的时间、地点公开开标。开标仪式由采购人或采购代理机构主持及有关人员参加。</w:t>
      </w:r>
    </w:p>
    <w:p>
      <w:pPr>
        <w:pStyle w:val="52"/>
        <w:spacing w:before="0"/>
        <w:ind w:firstLine="480"/>
        <w:rPr>
          <w:rFonts w:ascii="宋体" w:hAnsi="宋体" w:cs="宋体"/>
        </w:rPr>
      </w:pPr>
      <w:r>
        <w:rPr>
          <w:rFonts w:hint="eastAsia" w:ascii="宋体" w:hAnsi="宋体" w:cs="宋体"/>
        </w:rPr>
        <w:t>1.4本项目为电子投标项目，供应商一般不需要现场参加，若供应商需要指派授权代表递交备份文件，则授权代表应随身携带法定代表人授权书原件于</w:t>
      </w:r>
      <w:r>
        <w:rPr>
          <w:rFonts w:hint="eastAsia" w:hAnsi="宋体" w:cs="宋体"/>
        </w:rPr>
        <w:t>询价响应</w:t>
      </w:r>
      <w:r>
        <w:rPr>
          <w:rFonts w:hint="eastAsia" w:ascii="宋体" w:hAnsi="宋体" w:cs="宋体"/>
        </w:rPr>
        <w:t>截止时间前到达开标地点递交备份文件。若电子询价响应文件正常解锁，则U盘退还给供应商；若解锁失败，则由采购代理机构将U盘中的备份文件上传，该U盘将由采购代理机构保存。</w:t>
      </w:r>
    </w:p>
    <w:p>
      <w:pPr>
        <w:pStyle w:val="52"/>
        <w:spacing w:before="0"/>
        <w:ind w:firstLine="480"/>
        <w:rPr>
          <w:rFonts w:ascii="宋体" w:hAnsi="宋体" w:cs="宋体"/>
        </w:rPr>
      </w:pPr>
      <w:r>
        <w:rPr>
          <w:rFonts w:hint="eastAsia" w:ascii="宋体" w:hAnsi="宋体" w:cs="宋体"/>
        </w:rPr>
        <w:t>1.5两个以上的自然人、法人或者其他组织组成一个联合体，以一个供应商的身份共同参加采购活动的，应当对所有联合体成员进行信用记录查询，联合体成员存在不良信用记录的，视同联合体存在不良信用记录。</w:t>
      </w:r>
    </w:p>
    <w:p>
      <w:pPr>
        <w:spacing w:line="360" w:lineRule="auto"/>
        <w:ind w:firstLine="482" w:firstLineChars="200"/>
        <w:rPr>
          <w:rFonts w:ascii="宋体" w:hAnsi="宋体" w:cs="宋体"/>
          <w:b/>
          <w:bCs/>
          <w:sz w:val="24"/>
        </w:rPr>
      </w:pPr>
      <w:r>
        <w:rPr>
          <w:rFonts w:hint="eastAsia" w:ascii="宋体" w:hAnsi="宋体" w:cs="宋体"/>
          <w:b/>
          <w:bCs/>
          <w:sz w:val="24"/>
        </w:rPr>
        <w:t>2.组建询价小组</w:t>
      </w:r>
    </w:p>
    <w:p>
      <w:pPr>
        <w:pStyle w:val="52"/>
        <w:spacing w:before="0"/>
        <w:ind w:firstLine="480"/>
        <w:rPr>
          <w:rFonts w:ascii="宋体" w:hAnsi="宋体" w:cs="宋体"/>
        </w:rPr>
      </w:pPr>
      <w:r>
        <w:rPr>
          <w:rFonts w:hint="eastAsia" w:ascii="宋体" w:hAnsi="宋体" w:cs="宋体"/>
        </w:rPr>
        <w:t>2.1询价小组由采购人代表和评审专家组成，成员人数应当为 3 人以上单数，其中评审专家不得少于成员总数的三分之二。</w:t>
      </w:r>
    </w:p>
    <w:p>
      <w:pPr>
        <w:pStyle w:val="52"/>
        <w:tabs>
          <w:tab w:val="left" w:pos="0"/>
        </w:tabs>
        <w:spacing w:before="0"/>
        <w:ind w:firstLine="480"/>
        <w:rPr>
          <w:rFonts w:ascii="宋体" w:hAnsi="宋体" w:cs="宋体"/>
          <w:lang w:val="zh-CN"/>
        </w:rPr>
      </w:pPr>
      <w:r>
        <w:rPr>
          <w:rFonts w:hint="eastAsia" w:ascii="宋体" w:hAnsi="宋体" w:cs="宋体"/>
        </w:rPr>
        <w:t>2.2</w:t>
      </w:r>
      <w:r>
        <w:rPr>
          <w:rFonts w:hint="eastAsia" w:ascii="宋体" w:hAnsi="宋体" w:cs="宋体"/>
          <w:lang w:val="zh-CN"/>
        </w:rPr>
        <w:t>评标工作由</w:t>
      </w:r>
      <w:r>
        <w:rPr>
          <w:rFonts w:hint="eastAsia" w:ascii="宋体" w:hAnsi="宋体" w:cs="宋体"/>
        </w:rPr>
        <w:t>询价小组</w:t>
      </w:r>
      <w:r>
        <w:rPr>
          <w:rFonts w:hint="eastAsia" w:ascii="宋体" w:hAnsi="宋体" w:cs="宋体"/>
          <w:lang w:val="zh-CN"/>
        </w:rPr>
        <w:t>负责，并推选产生的组长主持；</w:t>
      </w:r>
    </w:p>
    <w:p>
      <w:pPr>
        <w:pStyle w:val="52"/>
        <w:spacing w:before="0"/>
        <w:ind w:firstLine="480"/>
        <w:rPr>
          <w:rFonts w:ascii="宋体" w:hAnsi="宋体" w:cs="宋体"/>
        </w:rPr>
      </w:pPr>
      <w:r>
        <w:rPr>
          <w:rFonts w:hint="eastAsia" w:ascii="宋体" w:hAnsi="宋体" w:cs="宋体"/>
        </w:rPr>
        <w:t>2.3</w:t>
      </w:r>
      <w:r>
        <w:rPr>
          <w:rFonts w:hint="eastAsia" w:ascii="宋体" w:hAnsi="宋体" w:cs="宋体"/>
          <w:lang w:val="zh-CN"/>
        </w:rPr>
        <w:t>本次评标为在线评标。</w:t>
      </w:r>
    </w:p>
    <w:p>
      <w:pPr>
        <w:snapToGrid w:val="0"/>
        <w:spacing w:line="360" w:lineRule="auto"/>
        <w:ind w:firstLine="482" w:firstLineChars="200"/>
        <w:rPr>
          <w:rFonts w:ascii="宋体" w:hAnsi="宋体" w:cs="宋体"/>
          <w:b/>
          <w:sz w:val="24"/>
        </w:rPr>
      </w:pPr>
      <w:r>
        <w:rPr>
          <w:rFonts w:hint="eastAsia" w:ascii="宋体" w:hAnsi="宋体" w:cs="宋体"/>
          <w:b/>
          <w:sz w:val="24"/>
        </w:rPr>
        <w:t>3.对所有响应文件的初审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3.1资格审查</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（1）开标后，询价小组将依法对供应商的资格进行审查。</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（2）询价小组依据法律法规和询价文件的规定，对供应商的基本资格条件、特定资格条件进行审查。</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（3）供应商未按照询价文件要求提供与基本资格条件、特定资格条件相应的有效资格证明材料的，视为供应商不具备询价文件中规定的资格要求，其询价无效。并将无效原由告知相关供应商。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3.2符合性审查：询价小组依据询价文件的规定，从响应文件的有效性、完整性和对询价文件的响应程度进行审查，以确定是否对询价文件的要求作出实质性响应。出现以下情况的，视为符合性不通过，询价无效。</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（1）响应文件无法定代表人或其委托授权代表签名或盖章。</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（2）响应文件内容虚假的。</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（3）响应文件有采购人不能接受的附加条件的。</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（4）询价有效期、服务期等商务条款不能满足询价文件要求的。</w:t>
      </w:r>
    </w:p>
    <w:p>
      <w:pPr>
        <w:widowControl/>
        <w:spacing w:line="360" w:lineRule="auto"/>
        <w:ind w:firstLine="480" w:firstLineChars="200"/>
        <w:jc w:val="left"/>
        <w:rPr>
          <w:rFonts w:ascii="宋体" w:hAnsi="宋体" w:cs="宋体"/>
          <w:bCs/>
          <w:sz w:val="24"/>
        </w:rPr>
      </w:pPr>
      <w:r>
        <w:rPr>
          <w:rFonts w:hint="eastAsia" w:ascii="宋体" w:hAnsi="宋体" w:cs="宋体"/>
          <w:bCs/>
          <w:sz w:val="24"/>
        </w:rPr>
        <w:t>（5）价格超出预算或最高限价，导致采购单位无法支付的。</w:t>
      </w:r>
    </w:p>
    <w:p>
      <w:pPr>
        <w:widowControl/>
        <w:spacing w:line="360" w:lineRule="auto"/>
        <w:ind w:firstLine="480" w:firstLineChars="200"/>
        <w:jc w:val="left"/>
        <w:rPr>
          <w:rFonts w:ascii="宋体" w:hAnsi="宋体" w:cs="宋体"/>
          <w:bCs/>
          <w:sz w:val="24"/>
        </w:rPr>
      </w:pPr>
      <w:r>
        <w:rPr>
          <w:rFonts w:hint="eastAsia" w:ascii="宋体" w:hAnsi="宋体" w:cs="宋体"/>
          <w:bCs/>
          <w:sz w:val="24"/>
        </w:rPr>
        <w:t>（6）询价文件明确规定的其他无效条款的。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 询价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2"/>
        <w:tabs>
          <w:tab w:val="left" w:pos="0"/>
        </w:tabs>
        <w:spacing w:before="0"/>
        <w:ind w:firstLine="480"/>
        <w:rPr>
          <w:rFonts w:ascii="宋体" w:hAnsi="宋体" w:cs="宋体"/>
        </w:rPr>
      </w:pPr>
      <w:r>
        <w:rPr>
          <w:rFonts w:hint="eastAsia" w:ascii="宋体" w:hAnsi="宋体" w:cs="宋体"/>
        </w:rPr>
        <w:t>3.4询价小组要求供应商澄清、说明或者更正响应文件应当以书面形式发出。供应商的澄清、说明或者更正应当由法定代表人或其授权代表签字或者加盖公章。由授权代表签字的，应当附法定代表人授权书。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rPr>
        <w:t>4.</w:t>
      </w:r>
      <w:r>
        <w:rPr>
          <w:rFonts w:hint="eastAsia" w:ascii="宋体" w:hAnsi="宋体" w:cs="宋体"/>
          <w:b/>
          <w:bCs/>
          <w:sz w:val="24"/>
          <w:lang w:val="zh-CN"/>
        </w:rPr>
        <w:t>询价</w:t>
      </w:r>
    </w:p>
    <w:p>
      <w:pPr>
        <w:snapToGrid w:val="0"/>
        <w:spacing w:line="360" w:lineRule="auto"/>
        <w:ind w:firstLine="480" w:firstLineChars="200"/>
        <w:rPr>
          <w:rFonts w:ascii="宋体" w:hAnsi="宋体" w:cs="宋体"/>
          <w:sz w:val="24"/>
        </w:rPr>
      </w:pPr>
      <w:r>
        <w:rPr>
          <w:rFonts w:hint="eastAsia" w:ascii="宋体" w:hAnsi="宋体" w:cs="宋体"/>
          <w:sz w:val="24"/>
        </w:rPr>
        <w:t>4.1 初审合格的供应商进入下一步的采购活动。</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rPr>
        <w:t>5.</w:t>
      </w:r>
      <w:r>
        <w:rPr>
          <w:rFonts w:hint="eastAsia" w:ascii="宋体" w:hAnsi="宋体" w:cs="宋体"/>
          <w:b/>
          <w:bCs/>
          <w:sz w:val="24"/>
          <w:lang w:val="zh-CN"/>
        </w:rPr>
        <w:t>报价</w:t>
      </w:r>
    </w:p>
    <w:p>
      <w:pPr>
        <w:snapToGrid w:val="0"/>
        <w:spacing w:line="360" w:lineRule="auto"/>
        <w:ind w:firstLine="480" w:firstLineChars="200"/>
        <w:rPr>
          <w:rFonts w:ascii="宋体" w:hAnsi="宋体" w:cs="宋体"/>
          <w:sz w:val="24"/>
        </w:rPr>
      </w:pPr>
      <w:r>
        <w:rPr>
          <w:rFonts w:hint="eastAsia" w:ascii="宋体" w:hAnsi="宋体" w:cs="宋体"/>
          <w:sz w:val="24"/>
        </w:rPr>
        <w:t>5.1询价结束后，供应商开启报价文件；</w:t>
      </w:r>
    </w:p>
    <w:p>
      <w:pPr>
        <w:snapToGrid w:val="0"/>
        <w:spacing w:line="360" w:lineRule="auto"/>
        <w:ind w:firstLine="480" w:firstLineChars="200"/>
        <w:rPr>
          <w:rFonts w:ascii="宋体" w:hAnsi="宋体" w:cs="宋体"/>
          <w:sz w:val="24"/>
        </w:rPr>
      </w:pPr>
      <w:r>
        <w:rPr>
          <w:rFonts w:hint="eastAsia" w:ascii="宋体" w:hAnsi="宋体" w:cs="宋体"/>
          <w:sz w:val="24"/>
        </w:rPr>
        <w:t>5.2报价是供应商响应文件的有效组成部分；</w:t>
      </w:r>
    </w:p>
    <w:p>
      <w:pPr>
        <w:pStyle w:val="15"/>
        <w:spacing w:line="360" w:lineRule="auto"/>
        <w:ind w:firstLine="482" w:firstLineChars="200"/>
        <w:rPr>
          <w:rFonts w:hAnsi="宋体"/>
          <w:b/>
          <w:sz w:val="24"/>
          <w:szCs w:val="24"/>
        </w:rPr>
      </w:pPr>
      <w:r>
        <w:rPr>
          <w:rFonts w:hint="eastAsia" w:hAnsi="宋体"/>
          <w:b/>
          <w:sz w:val="24"/>
          <w:szCs w:val="24"/>
        </w:rPr>
        <w:t>6.修正原则</w:t>
      </w:r>
    </w:p>
    <w:p>
      <w:pPr>
        <w:pStyle w:val="52"/>
        <w:spacing w:before="0"/>
        <w:ind w:firstLine="480"/>
        <w:rPr>
          <w:rFonts w:ascii="宋体" w:hAnsi="宋体" w:cs="宋体"/>
          <w:lang w:val="zh-CN"/>
        </w:rPr>
      </w:pPr>
      <w:r>
        <w:rPr>
          <w:rFonts w:hint="eastAsia" w:ascii="宋体" w:hAnsi="宋体" w:cs="宋体"/>
        </w:rPr>
        <w:t>响应</w:t>
      </w:r>
      <w:r>
        <w:rPr>
          <w:rFonts w:hint="eastAsia" w:ascii="宋体" w:hAnsi="宋体" w:cs="宋体"/>
          <w:lang w:val="zh-CN"/>
        </w:rPr>
        <w:t>文件报价出现前后不一致的，按照下列规定修正：</w:t>
      </w:r>
    </w:p>
    <w:p>
      <w:pPr>
        <w:pStyle w:val="52"/>
        <w:tabs>
          <w:tab w:val="left" w:pos="0"/>
        </w:tabs>
        <w:spacing w:before="0"/>
        <w:ind w:firstLine="480"/>
        <w:rPr>
          <w:rFonts w:ascii="宋体" w:hAnsi="宋体" w:cs="宋体"/>
          <w:lang w:val="zh-CN"/>
        </w:rPr>
      </w:pPr>
      <w:r>
        <w:rPr>
          <w:rFonts w:hint="eastAsia" w:ascii="宋体" w:hAnsi="宋体" w:cs="宋体"/>
        </w:rPr>
        <w:t>6.1响应</w:t>
      </w:r>
      <w:r>
        <w:rPr>
          <w:rFonts w:hint="eastAsia" w:ascii="宋体" w:hAnsi="宋体" w:cs="宋体"/>
          <w:lang w:val="zh-CN"/>
        </w:rPr>
        <w:t>文件中</w:t>
      </w:r>
      <w:r>
        <w:rPr>
          <w:rFonts w:hint="eastAsia" w:ascii="宋体" w:hAnsi="宋体" w:cs="宋体"/>
        </w:rPr>
        <w:t>报价</w:t>
      </w:r>
      <w:r>
        <w:rPr>
          <w:rFonts w:hint="eastAsia" w:ascii="宋体" w:hAnsi="宋体" w:cs="宋体"/>
          <w:lang w:val="zh-CN"/>
        </w:rPr>
        <w:t>一览表内容与</w:t>
      </w:r>
      <w:r>
        <w:rPr>
          <w:rFonts w:hint="eastAsia" w:ascii="宋体" w:hAnsi="宋体" w:cs="宋体"/>
        </w:rPr>
        <w:t>响应</w:t>
      </w:r>
      <w:r>
        <w:rPr>
          <w:rFonts w:hint="eastAsia" w:ascii="宋体" w:hAnsi="宋体" w:cs="宋体"/>
          <w:lang w:val="zh-CN"/>
        </w:rPr>
        <w:t>文件中相应内容不一致的，以</w:t>
      </w:r>
      <w:r>
        <w:rPr>
          <w:rFonts w:hint="eastAsia" w:ascii="宋体" w:hAnsi="宋体" w:cs="宋体"/>
        </w:rPr>
        <w:t>报价</w:t>
      </w:r>
      <w:r>
        <w:rPr>
          <w:rFonts w:hint="eastAsia" w:ascii="宋体" w:hAnsi="宋体" w:cs="宋体"/>
          <w:lang w:val="zh-CN"/>
        </w:rPr>
        <w:t>一览表为准；</w:t>
      </w:r>
    </w:p>
    <w:p>
      <w:pPr>
        <w:pStyle w:val="52"/>
        <w:tabs>
          <w:tab w:val="left" w:pos="0"/>
        </w:tabs>
        <w:spacing w:before="0"/>
        <w:ind w:firstLine="480"/>
        <w:rPr>
          <w:rFonts w:ascii="宋体" w:hAnsi="宋体" w:cs="宋体"/>
          <w:lang w:val="zh-CN"/>
        </w:rPr>
      </w:pPr>
      <w:r>
        <w:rPr>
          <w:rFonts w:hint="eastAsia" w:ascii="宋体" w:hAnsi="宋体" w:cs="宋体"/>
        </w:rPr>
        <w:t>6.2</w:t>
      </w:r>
      <w:r>
        <w:rPr>
          <w:rFonts w:hint="eastAsia" w:ascii="宋体" w:hAnsi="宋体" w:cs="宋体"/>
          <w:lang w:val="zh-CN"/>
        </w:rPr>
        <w:t>大写金额和小写金额不一致的，以大写金额为准；</w:t>
      </w:r>
    </w:p>
    <w:p>
      <w:pPr>
        <w:pStyle w:val="52"/>
        <w:tabs>
          <w:tab w:val="left" w:pos="0"/>
        </w:tabs>
        <w:spacing w:before="0"/>
        <w:ind w:firstLine="480"/>
        <w:rPr>
          <w:rFonts w:ascii="宋体" w:hAnsi="宋体" w:cs="宋体"/>
          <w:lang w:val="zh-CN"/>
        </w:rPr>
      </w:pPr>
      <w:r>
        <w:rPr>
          <w:rFonts w:hint="eastAsia" w:ascii="宋体" w:hAnsi="宋体" w:cs="宋体"/>
        </w:rPr>
        <w:t>6.3</w:t>
      </w:r>
      <w:r>
        <w:rPr>
          <w:rFonts w:hint="eastAsia" w:ascii="宋体" w:hAnsi="宋体" w:cs="宋体"/>
          <w:lang w:val="zh-CN"/>
        </w:rPr>
        <w:t>单价金额小数点或者百分比有明显错位的，以</w:t>
      </w:r>
      <w:r>
        <w:rPr>
          <w:rFonts w:hint="eastAsia" w:ascii="宋体" w:hAnsi="宋体" w:cs="宋体"/>
        </w:rPr>
        <w:t>报价</w:t>
      </w:r>
      <w:r>
        <w:rPr>
          <w:rFonts w:hint="eastAsia" w:ascii="宋体" w:hAnsi="宋体" w:cs="宋体"/>
          <w:lang w:val="zh-CN"/>
        </w:rPr>
        <w:t>一览表的总价为准，并修改单价；</w:t>
      </w:r>
    </w:p>
    <w:p>
      <w:pPr>
        <w:pStyle w:val="52"/>
        <w:tabs>
          <w:tab w:val="left" w:pos="0"/>
        </w:tabs>
        <w:spacing w:before="0"/>
        <w:ind w:firstLine="480"/>
        <w:rPr>
          <w:rFonts w:ascii="宋体" w:hAnsi="宋体" w:cs="宋体"/>
          <w:lang w:val="zh-CN"/>
        </w:rPr>
      </w:pPr>
      <w:r>
        <w:rPr>
          <w:rFonts w:hint="eastAsia" w:ascii="宋体" w:hAnsi="宋体" w:cs="宋体"/>
        </w:rPr>
        <w:t>6.4</w:t>
      </w:r>
      <w:r>
        <w:rPr>
          <w:rFonts w:hint="eastAsia" w:ascii="宋体" w:hAnsi="宋体" w:cs="宋体"/>
          <w:lang w:val="zh-CN"/>
        </w:rPr>
        <w:t>总价金额与按单价汇总金额不一致的，以单价金额计算结果为准。</w:t>
      </w:r>
    </w:p>
    <w:p>
      <w:pPr>
        <w:pStyle w:val="52"/>
        <w:spacing w:before="0"/>
        <w:ind w:firstLine="480"/>
        <w:rPr>
          <w:rFonts w:ascii="宋体" w:hAnsi="宋体" w:cs="宋体"/>
          <w:lang w:val="zh-CN"/>
        </w:rPr>
      </w:pPr>
      <w:r>
        <w:rPr>
          <w:rFonts w:hint="eastAsia" w:ascii="宋体" w:hAnsi="宋体" w:cs="宋体"/>
          <w:lang w:val="zh-CN"/>
        </w:rPr>
        <w:t>同时出现两种以上不一致的，按照前款规定的顺序修正。修正后的报价按照财政部公布第87号令 《政府采购</w:t>
      </w:r>
      <w:r>
        <w:rPr>
          <w:rFonts w:hint="eastAsia" w:ascii="宋体" w:hAnsi="宋体" w:cs="宋体"/>
          <w:lang w:val="en-US" w:eastAsia="zh-CN"/>
        </w:rPr>
        <w:t>货物</w:t>
      </w:r>
      <w:r>
        <w:rPr>
          <w:rFonts w:hint="eastAsia" w:ascii="宋体" w:hAnsi="宋体" w:cs="宋体"/>
          <w:lang w:val="zh-CN"/>
        </w:rPr>
        <w:t>和服务招标投标管理办法》第五十一条第二款的规定经</w:t>
      </w:r>
      <w:r>
        <w:rPr>
          <w:rFonts w:hint="eastAsia" w:ascii="宋体" w:hAnsi="宋体" w:cs="宋体"/>
        </w:rPr>
        <w:t>供应商</w:t>
      </w:r>
      <w:r>
        <w:rPr>
          <w:rFonts w:hint="eastAsia" w:ascii="宋体" w:hAnsi="宋体" w:cs="宋体"/>
          <w:lang w:val="zh-CN"/>
        </w:rPr>
        <w:t>确认后产生约束力，</w:t>
      </w:r>
      <w:r>
        <w:rPr>
          <w:rFonts w:hint="eastAsia" w:ascii="宋体" w:hAnsi="宋体" w:cs="宋体"/>
        </w:rPr>
        <w:t>供应商</w:t>
      </w:r>
      <w:r>
        <w:rPr>
          <w:rFonts w:hint="eastAsia" w:ascii="宋体" w:hAnsi="宋体" w:cs="宋体"/>
          <w:lang w:val="zh-CN"/>
        </w:rPr>
        <w:t>不确认的，其询价无效。</w:t>
      </w:r>
    </w:p>
    <w:p>
      <w:pPr>
        <w:pStyle w:val="15"/>
        <w:spacing w:line="360" w:lineRule="auto"/>
        <w:ind w:firstLine="482" w:firstLineChars="200"/>
        <w:rPr>
          <w:rFonts w:hAnsi="宋体"/>
          <w:b/>
          <w:sz w:val="24"/>
          <w:szCs w:val="24"/>
        </w:rPr>
      </w:pPr>
      <w:r>
        <w:rPr>
          <w:rFonts w:hint="eastAsia" w:hAnsi="宋体"/>
          <w:b/>
          <w:sz w:val="24"/>
          <w:szCs w:val="24"/>
        </w:rPr>
        <w:t>7.响应文件的澄清</w:t>
      </w:r>
    </w:p>
    <w:p>
      <w:pPr>
        <w:pStyle w:val="52"/>
        <w:tabs>
          <w:tab w:val="left" w:pos="0"/>
        </w:tabs>
        <w:spacing w:before="0"/>
        <w:ind w:firstLine="480"/>
        <w:rPr>
          <w:rFonts w:ascii="宋体" w:hAnsi="宋体" w:cs="宋体"/>
          <w:lang w:val="zh-CN"/>
        </w:rPr>
      </w:pPr>
      <w:r>
        <w:rPr>
          <w:rFonts w:hint="eastAsia" w:ascii="宋体" w:hAnsi="宋体" w:cs="宋体"/>
        </w:rPr>
        <w:t>7.1</w:t>
      </w:r>
      <w:r>
        <w:rPr>
          <w:rFonts w:hint="eastAsia" w:ascii="宋体" w:hAnsi="宋体" w:cs="宋体"/>
          <w:lang w:val="zh-CN"/>
        </w:rPr>
        <w:t>评审中因</w:t>
      </w:r>
      <w:r>
        <w:rPr>
          <w:rFonts w:hint="eastAsia" w:ascii="宋体" w:hAnsi="宋体" w:cs="宋体"/>
        </w:rPr>
        <w:t>响应</w:t>
      </w:r>
      <w:r>
        <w:rPr>
          <w:rFonts w:hint="eastAsia" w:ascii="宋体" w:hAnsi="宋体" w:cs="宋体"/>
          <w:lang w:val="zh-CN"/>
        </w:rPr>
        <w:t>文件含义不明、表述不一致或有明显计算错误等内容需要供应商作出澄清、说明或者补正的，询价</w:t>
      </w:r>
      <w:r>
        <w:rPr>
          <w:rFonts w:hint="eastAsia" w:ascii="宋体" w:hAnsi="宋体" w:cs="宋体"/>
        </w:rPr>
        <w:t>小组</w:t>
      </w:r>
      <w:r>
        <w:rPr>
          <w:rFonts w:hint="eastAsia" w:ascii="宋体" w:hAnsi="宋体" w:cs="宋体"/>
          <w:lang w:val="zh-CN"/>
        </w:rPr>
        <w:t>和供应商应当通过政采云平台交换数据电文，给予供应商提交澄清说明或补正的时间不少于半小时，供应商已经明确表示澄清说明或补正完毕的除外。</w:t>
      </w:r>
    </w:p>
    <w:p>
      <w:pPr>
        <w:spacing w:line="336" w:lineRule="auto"/>
        <w:ind w:firstLine="480" w:firstLineChars="200"/>
        <w:rPr>
          <w:rFonts w:asciiTheme="minorEastAsia" w:hAnsiTheme="minorEastAsia" w:eastAsiaTheme="minorEastAsia"/>
          <w:sz w:val="24"/>
          <w:szCs w:val="24"/>
        </w:rPr>
      </w:pPr>
      <w:r>
        <w:rPr>
          <w:rFonts w:hint="eastAsia" w:ascii="宋体" w:hAnsi="宋体" w:cs="宋体"/>
          <w:sz w:val="24"/>
          <w:lang w:val="zh-CN"/>
        </w:rPr>
        <w:t>供应商通过政采云平台交换的数据电文必须进行电子签章。</w:t>
      </w:r>
    </w:p>
    <w:p>
      <w:pPr>
        <w:pStyle w:val="2"/>
        <w:numPr>
          <w:ilvl w:val="0"/>
          <w:numId w:val="16"/>
        </w:numPr>
        <w:jc w:val="center"/>
        <w:rPr>
          <w:rFonts w:cs="Times New Roman" w:asciiTheme="minorEastAsia" w:hAnsiTheme="minorEastAsia" w:eastAsiaTheme="minorEastAsia"/>
        </w:rPr>
      </w:pPr>
      <w:bookmarkStart w:id="91" w:name="_Toc12816"/>
      <w:bookmarkStart w:id="92" w:name="_Toc110244167"/>
      <w:r>
        <w:rPr>
          <w:rFonts w:hint="eastAsia" w:asciiTheme="minorEastAsia" w:hAnsiTheme="minorEastAsia" w:eastAsiaTheme="minorEastAsia"/>
        </w:rPr>
        <w:t>注意事项</w:t>
      </w:r>
      <w:bookmarkEnd w:id="91"/>
      <w:bookmarkEnd w:id="92"/>
    </w:p>
    <w:p>
      <w:pPr>
        <w:pStyle w:val="3"/>
        <w:spacing w:line="336" w:lineRule="auto"/>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评审时如发现供应商的报价明显低于其他通过符合性审查供应商的报价，有可能影响产品质量或者不能诚信履约的，询价小组可要求该供应商书面说明并提供相关证明材料。该供应商不能合理说明原因并提供证明材料的，评审小组应将该供应商的询价响应文件作无效处理，同时采购组织机构应将该情况报同级财政部门，并视情将其列入不良供应商名单。</w:t>
      </w:r>
    </w:p>
    <w:p>
      <w:pPr>
        <w:pStyle w:val="2"/>
        <w:numPr>
          <w:ilvl w:val="0"/>
          <w:numId w:val="17"/>
        </w:numPr>
        <w:jc w:val="center"/>
        <w:rPr>
          <w:rFonts w:cs="Times New Roman" w:asciiTheme="minorEastAsia" w:hAnsiTheme="minorEastAsia" w:eastAsiaTheme="minorEastAsia"/>
        </w:rPr>
      </w:pPr>
      <w:bookmarkStart w:id="93" w:name="_Toc110244168"/>
      <w:bookmarkStart w:id="94" w:name="_Toc13782"/>
      <w:r>
        <w:rPr>
          <w:rFonts w:hint="eastAsia" w:asciiTheme="minorEastAsia" w:hAnsiTheme="minorEastAsia" w:eastAsiaTheme="minorEastAsia"/>
        </w:rPr>
        <w:t>询价细则</w:t>
      </w:r>
      <w:bookmarkEnd w:id="93"/>
      <w:bookmarkEnd w:id="94"/>
    </w:p>
    <w:p>
      <w:pPr>
        <w:spacing w:line="440" w:lineRule="exact"/>
        <w:ind w:firstLine="480" w:firstLineChars="200"/>
        <w:jc w:val="left"/>
        <w:rPr>
          <w:rFonts w:ascii="宋体" w:hAnsi="宋体" w:cs="宋体"/>
          <w:sz w:val="24"/>
        </w:rPr>
      </w:pPr>
      <w:r>
        <w:rPr>
          <w:rFonts w:hint="eastAsia" w:ascii="宋体" w:hAnsi="宋体" w:cs="宋体"/>
          <w:sz w:val="24"/>
        </w:rPr>
        <w:t>1.本次采购项目最高限价规定如下：</w:t>
      </w:r>
    </w:p>
    <w:p>
      <w:pPr>
        <w:spacing w:line="440" w:lineRule="exact"/>
        <w:ind w:firstLine="482" w:firstLineChars="200"/>
        <w:jc w:val="left"/>
        <w:rPr>
          <w:rFonts w:ascii="宋体" w:hAnsi="宋体" w:cs="宋体"/>
          <w:b/>
          <w:bCs/>
          <w:sz w:val="24"/>
        </w:rPr>
      </w:pPr>
      <w:r>
        <w:rPr>
          <w:rFonts w:hint="eastAsia" w:ascii="宋体" w:hAnsi="宋体" w:cs="宋体"/>
          <w:b/>
          <w:bCs/>
          <w:sz w:val="24"/>
        </w:rPr>
        <w:t>本项目询价报价的最高限价为人民币</w:t>
      </w:r>
      <w:r>
        <w:rPr>
          <w:rFonts w:hint="eastAsia" w:ascii="宋体" w:hAnsi="宋体" w:cs="宋体"/>
          <w:b/>
          <w:bCs/>
          <w:color w:val="auto"/>
          <w:sz w:val="24"/>
          <w:u w:val="single"/>
          <w:lang w:val="en-US" w:eastAsia="zh-CN"/>
        </w:rPr>
        <w:t xml:space="preserve"> </w:t>
      </w:r>
      <w:r>
        <w:rPr>
          <w:rFonts w:hint="eastAsia" w:ascii="宋体" w:hAnsi="宋体" w:cs="宋体"/>
          <w:b/>
          <w:bCs/>
          <w:color w:val="auto"/>
          <w:sz w:val="24"/>
          <w:u w:val="single"/>
          <w:lang w:eastAsia="zh-CN"/>
        </w:rPr>
        <w:t>陆拾伍万</w:t>
      </w:r>
      <w:r>
        <w:rPr>
          <w:rFonts w:hint="eastAsia" w:ascii="宋体" w:hAnsi="宋体" w:cs="宋体"/>
          <w:b/>
          <w:bCs/>
          <w:color w:val="auto"/>
          <w:sz w:val="24"/>
          <w:u w:val="single"/>
        </w:rPr>
        <w:t xml:space="preserve">元整 </w:t>
      </w:r>
      <w:r>
        <w:rPr>
          <w:rFonts w:hint="eastAsia" w:ascii="宋体" w:hAnsi="宋体" w:cs="宋体"/>
          <w:b/>
          <w:bCs/>
          <w:color w:val="auto"/>
          <w:sz w:val="24"/>
        </w:rPr>
        <w:t>（小写</w:t>
      </w:r>
      <w:r>
        <w:rPr>
          <w:rFonts w:hint="eastAsia" w:ascii="宋体" w:hAnsi="宋体" w:cs="宋体"/>
          <w:b/>
          <w:bCs/>
          <w:color w:val="auto"/>
          <w:sz w:val="24"/>
          <w:u w:val="single"/>
          <w:lang w:eastAsia="zh-CN"/>
        </w:rPr>
        <w:t>650000</w:t>
      </w:r>
      <w:r>
        <w:rPr>
          <w:rFonts w:hint="eastAsia" w:ascii="宋体" w:hAnsi="宋体" w:cs="宋体"/>
          <w:b/>
          <w:bCs/>
          <w:color w:val="auto"/>
          <w:sz w:val="24"/>
          <w:u w:val="single"/>
        </w:rPr>
        <w:t xml:space="preserve">.00 </w:t>
      </w:r>
      <w:r>
        <w:rPr>
          <w:rFonts w:hint="eastAsia" w:ascii="宋体" w:hAnsi="宋体" w:cs="宋体"/>
          <w:b/>
          <w:bCs/>
          <w:color w:val="auto"/>
          <w:sz w:val="24"/>
        </w:rPr>
        <w:t>元）。</w:t>
      </w:r>
      <w:r>
        <w:rPr>
          <w:rFonts w:hint="eastAsia" w:ascii="宋体" w:hAnsi="宋体" w:cs="宋体"/>
          <w:b/>
          <w:bCs/>
          <w:sz w:val="24"/>
          <w:szCs w:val="24"/>
        </w:rPr>
        <w:t>最高限价由采购人根据市场价格的调查设定，并且不高于本项目预算。</w:t>
      </w:r>
    </w:p>
    <w:p>
      <w:pPr>
        <w:spacing w:line="440" w:lineRule="exact"/>
        <w:ind w:firstLine="480" w:firstLineChars="200"/>
        <w:jc w:val="left"/>
        <w:rPr>
          <w:rFonts w:ascii="宋体" w:hAnsi="宋体" w:cs="宋体"/>
          <w:sz w:val="24"/>
        </w:rPr>
      </w:pPr>
      <w:r>
        <w:rPr>
          <w:rFonts w:hint="eastAsia" w:ascii="宋体" w:hAnsi="宋体" w:cs="宋体"/>
          <w:sz w:val="24"/>
        </w:rPr>
        <w:t>2.供应商的报价在最高限价内的，为有效报价；供应商的报价在最高限价外的，为无效报价。</w:t>
      </w:r>
    </w:p>
    <w:p>
      <w:pPr>
        <w:spacing w:line="360" w:lineRule="auto"/>
        <w:ind w:firstLine="480" w:firstLineChars="200"/>
        <w:rPr>
          <w:rFonts w:ascii="宋体" w:hAnsi="宋体"/>
          <w:sz w:val="24"/>
          <w:szCs w:val="21"/>
        </w:rPr>
      </w:pPr>
      <w:r>
        <w:rPr>
          <w:rFonts w:hint="eastAsia" w:ascii="宋体" w:hAnsi="宋体" w:cs="宋体"/>
          <w:sz w:val="24"/>
          <w:szCs w:val="32"/>
        </w:rPr>
        <w:t>3.</w:t>
      </w:r>
      <w:r>
        <w:rPr>
          <w:rFonts w:hint="eastAsia" w:ascii="宋体" w:hAnsi="宋体"/>
          <w:sz w:val="24"/>
          <w:szCs w:val="21"/>
        </w:rPr>
        <w:t>响应文件只允许有一个报价，报价应按询价文件中相关附表格式填报，该报价应与明细报价汇总相等，且不允许出现报价优惠、赠送等字样（明细出现“0”元，视同赠送）,如出现则做</w:t>
      </w:r>
      <w:r>
        <w:rPr>
          <w:rFonts w:hint="eastAsia" w:ascii="宋体" w:hAnsi="宋体"/>
          <w:b/>
          <w:bCs/>
          <w:sz w:val="24"/>
          <w:szCs w:val="21"/>
        </w:rPr>
        <w:t>无效响应</w:t>
      </w:r>
      <w:r>
        <w:rPr>
          <w:rFonts w:hint="eastAsia" w:ascii="宋体" w:hAnsi="宋体"/>
          <w:sz w:val="24"/>
          <w:szCs w:val="21"/>
        </w:rPr>
        <w:t>处理。</w:t>
      </w:r>
    </w:p>
    <w:p>
      <w:pPr>
        <w:spacing w:line="360" w:lineRule="auto"/>
        <w:ind w:firstLine="480" w:firstLineChars="200"/>
        <w:rPr>
          <w:rFonts w:ascii="宋体" w:hAnsi="宋体"/>
          <w:sz w:val="24"/>
          <w:szCs w:val="21"/>
        </w:rPr>
      </w:pPr>
      <w:r>
        <w:rPr>
          <w:rFonts w:hint="eastAsia" w:ascii="宋体" w:hAnsi="宋体"/>
          <w:sz w:val="24"/>
          <w:szCs w:val="21"/>
        </w:rPr>
        <w:t>4.</w:t>
      </w:r>
      <w:r>
        <w:rPr>
          <w:rFonts w:hint="eastAsia"/>
        </w:rPr>
        <w:t xml:space="preserve"> </w:t>
      </w:r>
      <w:r>
        <w:rPr>
          <w:rFonts w:hint="eastAsia" w:ascii="宋体" w:hAnsi="宋体"/>
          <w:sz w:val="24"/>
          <w:szCs w:val="21"/>
        </w:rPr>
        <w:t>评审办法：询价小组应当从质量和服务均能满足采购文件实质性响应要求的供应商中，按照最后报价由低到高的顺序提出</w:t>
      </w:r>
      <w:r>
        <w:rPr>
          <w:rFonts w:hint="eastAsia" w:ascii="宋体" w:hAnsi="宋体"/>
          <w:sz w:val="24"/>
          <w:szCs w:val="21"/>
          <w:highlight w:val="none"/>
        </w:rPr>
        <w:t>1</w:t>
      </w:r>
      <w:r>
        <w:rPr>
          <w:rFonts w:hint="eastAsia" w:ascii="宋体" w:hAnsi="宋体"/>
          <w:sz w:val="24"/>
          <w:szCs w:val="21"/>
        </w:rPr>
        <w:t>名成交候选人，并编写评审报告。</w:t>
      </w:r>
    </w:p>
    <w:p>
      <w:pPr>
        <w:spacing w:line="360" w:lineRule="auto"/>
        <w:ind w:firstLine="480" w:firstLineChars="200"/>
        <w:rPr>
          <w:rFonts w:ascii="宋体" w:hAnsi="宋体" w:cs="宋体"/>
          <w:sz w:val="24"/>
          <w:szCs w:val="32"/>
        </w:rPr>
      </w:pPr>
      <w:r>
        <w:rPr>
          <w:rFonts w:hint="eastAsia" w:ascii="宋体" w:hAnsi="宋体"/>
          <w:sz w:val="24"/>
          <w:szCs w:val="21"/>
        </w:rPr>
        <w:t>采购人根据询价小组提交的书面评审报告在符合采购需求、质量和服务相等前提下，将最后报价最低的供应商定为成交供应商；如果报价相同，则由采购单位现场抽取确定成交供应商。</w:t>
      </w:r>
    </w:p>
    <w:p>
      <w:pPr>
        <w:spacing w:line="336" w:lineRule="auto"/>
        <w:ind w:firstLine="482" w:firstLineChars="200"/>
        <w:rPr>
          <w:rFonts w:ascii="宋体" w:hAnsi="宋体" w:cs="宋体"/>
          <w:b/>
          <w:bCs/>
          <w:sz w:val="24"/>
          <w:szCs w:val="32"/>
        </w:rPr>
      </w:pPr>
      <w:r>
        <w:rPr>
          <w:rFonts w:hint="eastAsia" w:ascii="宋体" w:hAnsi="宋体"/>
          <w:b/>
          <w:bCs/>
          <w:sz w:val="24"/>
          <w:szCs w:val="21"/>
        </w:rPr>
        <w:t>5.</w:t>
      </w:r>
      <w:r>
        <w:rPr>
          <w:rFonts w:hint="eastAsia" w:ascii="宋体" w:hAnsi="宋体" w:cs="宋体"/>
          <w:b/>
          <w:bCs/>
          <w:sz w:val="24"/>
          <w:szCs w:val="32"/>
        </w:rPr>
        <w:t>电子评标程序</w:t>
      </w:r>
    </w:p>
    <w:p>
      <w:pPr>
        <w:spacing w:line="336" w:lineRule="auto"/>
        <w:ind w:firstLine="480" w:firstLineChars="200"/>
        <w:rPr>
          <w:rFonts w:ascii="宋体" w:hAnsi="宋体" w:cs="宋体"/>
          <w:sz w:val="24"/>
          <w:szCs w:val="32"/>
        </w:rPr>
      </w:pPr>
      <w:r>
        <w:rPr>
          <w:rFonts w:hint="eastAsia" w:ascii="宋体" w:hAnsi="宋体" w:cs="宋体"/>
          <w:sz w:val="24"/>
          <w:szCs w:val="32"/>
        </w:rPr>
        <w:t>5.1询价活动由采购代理机构主持,询价响应截止时间后,供应商登录政采云平台对电子响应文件进行在线解密；</w:t>
      </w:r>
    </w:p>
    <w:p>
      <w:pPr>
        <w:spacing w:line="336" w:lineRule="auto"/>
        <w:ind w:firstLine="480" w:firstLineChars="200"/>
        <w:rPr>
          <w:rFonts w:ascii="宋体" w:hAnsi="宋体" w:cs="宋体"/>
          <w:sz w:val="24"/>
          <w:szCs w:val="32"/>
        </w:rPr>
      </w:pPr>
      <w:r>
        <w:rPr>
          <w:rFonts w:hint="eastAsia" w:ascii="宋体" w:hAnsi="宋体" w:cs="宋体"/>
          <w:sz w:val="24"/>
          <w:szCs w:val="32"/>
        </w:rPr>
        <w:t>5.2响应文件解密结束,开启响应文件,询价小组对资格和商务技术响应文件进行资格审查和符合性审查；</w:t>
      </w:r>
    </w:p>
    <w:p>
      <w:pPr>
        <w:pStyle w:val="3"/>
        <w:spacing w:line="336" w:lineRule="auto"/>
        <w:ind w:firstLine="480" w:firstLineChars="200"/>
        <w:rPr>
          <w:rFonts w:ascii="宋体" w:hAnsi="宋体" w:cs="宋体"/>
          <w:sz w:val="24"/>
          <w:szCs w:val="32"/>
        </w:rPr>
      </w:pPr>
      <w:r>
        <w:rPr>
          <w:rFonts w:hint="eastAsia" w:ascii="宋体" w:hAnsi="宋体" w:cs="宋体"/>
          <w:sz w:val="24"/>
          <w:szCs w:val="24"/>
        </w:rPr>
        <w:t>5.3询价结束后，供应商开启报价文件；</w:t>
      </w:r>
    </w:p>
    <w:p>
      <w:pPr>
        <w:pStyle w:val="3"/>
        <w:spacing w:line="336" w:lineRule="auto"/>
        <w:ind w:firstLine="480" w:firstLineChars="200"/>
        <w:rPr>
          <w:rFonts w:ascii="宋体" w:hAnsi="宋体" w:cs="宋体"/>
          <w:sz w:val="24"/>
          <w:szCs w:val="32"/>
        </w:rPr>
      </w:pPr>
      <w:r>
        <w:rPr>
          <w:rFonts w:hint="eastAsia" w:ascii="宋体" w:hAnsi="宋体" w:cs="宋体"/>
          <w:sz w:val="24"/>
          <w:szCs w:val="32"/>
        </w:rPr>
        <w:t>5.4 评审价格最低者为中标候选人；</w:t>
      </w:r>
    </w:p>
    <w:p>
      <w:pPr>
        <w:pStyle w:val="3"/>
        <w:spacing w:line="336" w:lineRule="auto"/>
        <w:ind w:firstLine="480" w:firstLineChars="200"/>
        <w:rPr>
          <w:rFonts w:ascii="宋体" w:hAnsi="宋体" w:cs="宋体"/>
          <w:sz w:val="24"/>
          <w:szCs w:val="32"/>
        </w:rPr>
      </w:pPr>
      <w:r>
        <w:rPr>
          <w:rFonts w:hint="eastAsia" w:ascii="宋体" w:hAnsi="宋体" w:cs="宋体"/>
          <w:sz w:val="24"/>
          <w:szCs w:val="32"/>
        </w:rPr>
        <w:t>5.5询价小组对报价情况进行评审；</w:t>
      </w:r>
    </w:p>
    <w:p>
      <w:pPr>
        <w:pStyle w:val="3"/>
        <w:spacing w:line="336" w:lineRule="auto"/>
        <w:ind w:firstLine="480" w:firstLineChars="200"/>
        <w:rPr>
          <w:rFonts w:ascii="宋体" w:hAnsi="宋体" w:cs="宋体"/>
          <w:sz w:val="24"/>
          <w:szCs w:val="32"/>
        </w:rPr>
      </w:pPr>
      <w:r>
        <w:rPr>
          <w:rFonts w:hint="eastAsia" w:ascii="宋体" w:hAnsi="宋体" w:cs="宋体"/>
          <w:sz w:val="24"/>
          <w:szCs w:val="32"/>
        </w:rPr>
        <w:t>5.6在系统上公开评审结果；</w:t>
      </w:r>
    </w:p>
    <w:p>
      <w:pPr>
        <w:spacing w:line="360" w:lineRule="auto"/>
        <w:ind w:firstLine="480" w:firstLineChars="200"/>
        <w:rPr>
          <w:rFonts w:cs="宋体" w:asciiTheme="minorEastAsia" w:hAnsiTheme="minorEastAsia" w:eastAsiaTheme="minorEastAsia"/>
          <w:sz w:val="36"/>
          <w:szCs w:val="36"/>
        </w:rPr>
      </w:pPr>
      <w:r>
        <w:rPr>
          <w:rFonts w:hint="eastAsia" w:ascii="宋体" w:hAnsi="宋体" w:cs="宋体"/>
          <w:sz w:val="24"/>
          <w:szCs w:val="32"/>
        </w:rPr>
        <w:t>5.7开标会结束。</w:t>
      </w:r>
      <w:bookmarkStart w:id="95" w:name="_Toc8033"/>
      <w:bookmarkStart w:id="96" w:name="_Toc4517"/>
    </w:p>
    <w:bookmarkEnd w:id="95"/>
    <w:bookmarkEnd w:id="96"/>
    <w:p>
      <w:pPr>
        <w:pStyle w:val="5"/>
        <w:jc w:val="both"/>
        <w:rPr>
          <w:rFonts w:ascii="宋体" w:hAnsi="宋体"/>
          <w:sz w:val="24"/>
        </w:rPr>
      </w:pPr>
      <w:bookmarkStart w:id="97" w:name="_Toc11880"/>
      <w:r>
        <w:rPr>
          <w:rFonts w:hint="eastAsia" w:ascii="黑体" w:hAnsi="宋体" w:eastAsia="黑体"/>
          <w:sz w:val="24"/>
        </w:rPr>
        <w:br w:type="page"/>
      </w:r>
      <w:bookmarkEnd w:id="97"/>
    </w:p>
    <w:p>
      <w:pPr>
        <w:spacing w:line="400" w:lineRule="exact"/>
        <w:jc w:val="center"/>
        <w:rPr>
          <w:rFonts w:hint="eastAsia" w:ascii="宋体" w:hAnsi="宋体" w:cs="宋体"/>
          <w:b/>
          <w:sz w:val="24"/>
        </w:rPr>
      </w:pPr>
      <w:bookmarkStart w:id="98" w:name="_Toc110244169"/>
      <w:r>
        <w:rPr>
          <w:rFonts w:hint="eastAsia" w:cs="宋体" w:asciiTheme="minorEastAsia" w:hAnsiTheme="minorEastAsia" w:eastAsiaTheme="minorEastAsia"/>
          <w:sz w:val="36"/>
          <w:szCs w:val="36"/>
        </w:rPr>
        <w:t>第五部分采购合同</w:t>
      </w:r>
      <w:bookmarkEnd w:id="98"/>
    </w:p>
    <w:p>
      <w:pPr>
        <w:spacing w:line="400" w:lineRule="exact"/>
        <w:rPr>
          <w:rFonts w:hint="eastAsia" w:ascii="宋体" w:hAnsi="宋体" w:cs="宋体"/>
          <w:b/>
          <w:sz w:val="24"/>
          <w:lang w:val="en-US" w:eastAsia="zh-CN"/>
        </w:rPr>
      </w:pPr>
    </w:p>
    <w:p>
      <w:pPr>
        <w:spacing w:line="400" w:lineRule="exact"/>
        <w:rPr>
          <w:rFonts w:hint="eastAsia" w:ascii="宋体" w:hAnsi="宋体" w:cs="宋体"/>
          <w:b/>
          <w:sz w:val="24"/>
        </w:rPr>
      </w:pPr>
      <w:r>
        <w:rPr>
          <w:rFonts w:hint="eastAsia" w:ascii="宋体" w:hAnsi="宋体" w:cs="宋体"/>
          <w:b/>
          <w:sz w:val="24"/>
          <w:lang w:val="en-US" w:eastAsia="zh-CN"/>
        </w:rPr>
        <w:t>采购方</w:t>
      </w:r>
      <w:r>
        <w:rPr>
          <w:rFonts w:hint="eastAsia" w:ascii="宋体" w:hAnsi="宋体" w:cs="宋体"/>
          <w:b/>
          <w:sz w:val="24"/>
        </w:rPr>
        <w:t>：</w:t>
      </w:r>
      <w:r>
        <w:rPr>
          <w:rFonts w:hint="eastAsia" w:ascii="宋体" w:hAnsi="宋体" w:cs="宋体"/>
          <w:b/>
          <w:sz w:val="24"/>
          <w:lang w:eastAsia="zh-CN"/>
        </w:rPr>
        <w:t>绍兴市上虞</w:t>
      </w:r>
      <w:r>
        <w:rPr>
          <w:rFonts w:hint="eastAsia" w:ascii="宋体" w:hAnsi="宋体" w:cs="宋体"/>
          <w:b/>
          <w:sz w:val="24"/>
          <w:lang w:val="en-US" w:eastAsia="zh-CN"/>
        </w:rPr>
        <w:t>城市建设集团有限公司</w:t>
      </w:r>
    </w:p>
    <w:p>
      <w:pPr>
        <w:spacing w:line="400" w:lineRule="exact"/>
        <w:rPr>
          <w:rFonts w:hint="default" w:ascii="宋体" w:hAnsi="宋体" w:eastAsia="宋体" w:cs="宋体"/>
          <w:b/>
          <w:sz w:val="24"/>
          <w:u w:val="single"/>
          <w:lang w:val="en-US" w:eastAsia="zh-CN"/>
        </w:rPr>
      </w:pPr>
      <w:r>
        <w:rPr>
          <w:rFonts w:hint="eastAsia" w:ascii="宋体" w:hAnsi="宋体" w:cs="宋体"/>
          <w:b/>
          <w:sz w:val="24"/>
          <w:lang w:val="en-US" w:eastAsia="zh-CN"/>
        </w:rPr>
        <w:t>供应商</w:t>
      </w:r>
      <w:r>
        <w:rPr>
          <w:rFonts w:hint="eastAsia" w:ascii="宋体" w:hAnsi="宋体" w:cs="宋体"/>
          <w:b/>
          <w:sz w:val="24"/>
        </w:rPr>
        <w:t>：</w:t>
      </w:r>
      <w:r>
        <w:rPr>
          <w:rFonts w:hint="eastAsia" w:ascii="宋体" w:hAnsi="宋体" w:cs="宋体"/>
          <w:b/>
          <w:sz w:val="24"/>
          <w:u w:val="single"/>
        </w:rPr>
        <w:t xml:space="preserve"> </w:t>
      </w:r>
      <w:r>
        <w:rPr>
          <w:rFonts w:hint="eastAsia" w:ascii="宋体" w:hAnsi="宋体" w:cs="宋体"/>
          <w:b/>
          <w:sz w:val="24"/>
          <w:u w:val="single"/>
          <w:lang w:val="en-US" w:eastAsia="zh-CN"/>
        </w:rPr>
        <w:t xml:space="preserve">                             </w:t>
      </w:r>
    </w:p>
    <w:p>
      <w:pPr>
        <w:spacing w:line="400" w:lineRule="exact"/>
        <w:ind w:left="1" w:right="-224" w:rightChars="-112" w:firstLine="480" w:firstLineChars="200"/>
        <w:rPr>
          <w:rFonts w:ascii="宋体" w:hAnsi="宋体" w:cs="宋体"/>
          <w:sz w:val="24"/>
        </w:rPr>
      </w:pPr>
      <w:r>
        <w:rPr>
          <w:rFonts w:hint="eastAsia" w:ascii="宋体" w:hAnsi="宋体" w:cs="宋体"/>
          <w:sz w:val="24"/>
        </w:rPr>
        <w:t>根据《中华人民共和国民法典》及相关法律法规的规定，双方在平等自愿的基础上，就</w:t>
      </w:r>
      <w:r>
        <w:rPr>
          <w:rFonts w:hint="eastAsia" w:ascii="宋体" w:hAnsi="宋体" w:cs="宋体"/>
          <w:sz w:val="24"/>
          <w:u w:val="single"/>
          <w:lang w:eastAsia="zh-CN"/>
        </w:rPr>
        <w:t>建设大厦食堂设施设备采购</w:t>
      </w:r>
      <w:r>
        <w:rPr>
          <w:rFonts w:hint="eastAsia" w:ascii="宋体" w:hAnsi="宋体" w:cs="宋体"/>
          <w:sz w:val="24"/>
        </w:rPr>
        <w:t>相关事宜达成如下协议：</w:t>
      </w:r>
    </w:p>
    <w:p>
      <w:pPr>
        <w:snapToGrid w:val="0"/>
        <w:spacing w:line="400" w:lineRule="exact"/>
        <w:ind w:firstLine="472" w:firstLineChars="196"/>
        <w:rPr>
          <w:rFonts w:ascii="宋体" w:hAnsi="宋体"/>
          <w:b/>
          <w:sz w:val="24"/>
        </w:rPr>
      </w:pPr>
      <w:r>
        <w:rPr>
          <w:rFonts w:hint="eastAsia" w:ascii="宋体" w:hAnsi="宋体"/>
          <w:b/>
          <w:sz w:val="24"/>
        </w:rPr>
        <w:t>一、供货范围及价款：</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合同供货范围：设备名称数量。</w:t>
      </w:r>
    </w:p>
    <w:tbl>
      <w:tblPr>
        <w:tblStyle w:val="26"/>
        <w:tblpPr w:leftFromText="180" w:rightFromText="180" w:vertAnchor="text" w:horzAnchor="page" w:tblpXSpec="center" w:tblpY="265"/>
        <w:tblOverlap w:val="never"/>
        <w:tblW w:w="878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641"/>
        <w:gridCol w:w="2178"/>
        <w:gridCol w:w="765"/>
        <w:gridCol w:w="805"/>
        <w:gridCol w:w="969"/>
        <w:gridCol w:w="1110"/>
        <w:gridCol w:w="13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10" w:hRule="atLeast"/>
          <w:jc w:val="center"/>
        </w:trPr>
        <w:tc>
          <w:tcPr>
            <w:tcW w:w="1641" w:type="dxa"/>
            <w:vAlign w:val="center"/>
          </w:tcPr>
          <w:p>
            <w:pPr>
              <w:jc w:val="center"/>
              <w:rPr>
                <w:rFonts w:ascii="宋体" w:hAnsi="宋体" w:cs="宋体"/>
                <w:b/>
                <w:sz w:val="24"/>
              </w:rPr>
            </w:pPr>
            <w:r>
              <w:rPr>
                <w:rFonts w:hint="eastAsia"/>
                <w:b/>
                <w:sz w:val="24"/>
              </w:rPr>
              <w:t>名  称</w:t>
            </w:r>
          </w:p>
        </w:tc>
        <w:tc>
          <w:tcPr>
            <w:tcW w:w="2178" w:type="dxa"/>
            <w:vAlign w:val="center"/>
          </w:tcPr>
          <w:p>
            <w:pPr>
              <w:jc w:val="center"/>
              <w:rPr>
                <w:rFonts w:ascii="宋体" w:hAnsi="宋体" w:cs="宋体"/>
                <w:b/>
                <w:sz w:val="24"/>
              </w:rPr>
            </w:pPr>
            <w:r>
              <w:rPr>
                <w:rFonts w:hint="eastAsia"/>
                <w:b/>
                <w:sz w:val="24"/>
              </w:rPr>
              <w:t>规格型号</w:t>
            </w:r>
          </w:p>
        </w:tc>
        <w:tc>
          <w:tcPr>
            <w:tcW w:w="765" w:type="dxa"/>
            <w:vAlign w:val="center"/>
          </w:tcPr>
          <w:p>
            <w:pPr>
              <w:jc w:val="center"/>
              <w:rPr>
                <w:rFonts w:ascii="宋体" w:hAnsi="宋体" w:cs="宋体"/>
                <w:b/>
                <w:sz w:val="24"/>
              </w:rPr>
            </w:pPr>
            <w:r>
              <w:rPr>
                <w:rFonts w:hint="eastAsia"/>
                <w:b/>
                <w:sz w:val="24"/>
              </w:rPr>
              <w:t>单位</w:t>
            </w:r>
          </w:p>
        </w:tc>
        <w:tc>
          <w:tcPr>
            <w:tcW w:w="805" w:type="dxa"/>
            <w:vAlign w:val="center"/>
          </w:tcPr>
          <w:p>
            <w:pPr>
              <w:jc w:val="center"/>
              <w:rPr>
                <w:rFonts w:ascii="宋体" w:hAnsi="宋体" w:cs="宋体"/>
                <w:b/>
                <w:sz w:val="24"/>
              </w:rPr>
            </w:pPr>
            <w:r>
              <w:rPr>
                <w:rFonts w:hint="eastAsia"/>
                <w:b/>
                <w:sz w:val="24"/>
              </w:rPr>
              <w:t>数量</w:t>
            </w:r>
          </w:p>
        </w:tc>
        <w:tc>
          <w:tcPr>
            <w:tcW w:w="969" w:type="dxa"/>
            <w:vAlign w:val="center"/>
          </w:tcPr>
          <w:p>
            <w:pPr>
              <w:jc w:val="center"/>
              <w:rPr>
                <w:rFonts w:ascii="宋体" w:hAnsi="宋体" w:cs="宋体"/>
                <w:b/>
                <w:sz w:val="24"/>
                <w:lang w:bidi="ar"/>
              </w:rPr>
            </w:pPr>
            <w:r>
              <w:rPr>
                <w:rFonts w:hint="eastAsia" w:ascii="宋体" w:hAnsi="宋体" w:cs="宋体"/>
                <w:b/>
                <w:sz w:val="24"/>
                <w:lang w:bidi="ar"/>
              </w:rPr>
              <w:t>单价</w:t>
            </w:r>
          </w:p>
        </w:tc>
        <w:tc>
          <w:tcPr>
            <w:tcW w:w="1110" w:type="dxa"/>
            <w:vAlign w:val="center"/>
          </w:tcPr>
          <w:p>
            <w:pPr>
              <w:jc w:val="center"/>
              <w:rPr>
                <w:b/>
                <w:sz w:val="24"/>
              </w:rPr>
            </w:pPr>
            <w:r>
              <w:rPr>
                <w:rFonts w:hint="eastAsia"/>
                <w:b/>
                <w:sz w:val="24"/>
              </w:rPr>
              <w:t>合价</w:t>
            </w:r>
          </w:p>
        </w:tc>
        <w:tc>
          <w:tcPr>
            <w:tcW w:w="1313" w:type="dxa"/>
            <w:vAlign w:val="center"/>
          </w:tcPr>
          <w:p>
            <w:pPr>
              <w:jc w:val="center"/>
              <w:rPr>
                <w:b/>
                <w:sz w:val="24"/>
              </w:rPr>
            </w:pPr>
            <w:r>
              <w:rPr>
                <w:rFonts w:hint="eastAsia"/>
                <w:b/>
                <w:sz w:val="24"/>
              </w:rPr>
              <w:t>备  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rFonts w:ascii="宋体" w:hAnsi="宋体" w:cs="宋体"/>
                <w:sz w:val="24"/>
              </w:rPr>
            </w:pPr>
          </w:p>
        </w:tc>
        <w:tc>
          <w:tcPr>
            <w:tcW w:w="2178" w:type="dxa"/>
            <w:vAlign w:val="center"/>
          </w:tcPr>
          <w:p>
            <w:pPr>
              <w:widowControl/>
              <w:jc w:val="center"/>
              <w:textAlignment w:val="center"/>
              <w:rPr>
                <w:rFonts w:ascii="宋体" w:hAnsi="宋体" w:cs="宋体"/>
                <w:sz w:val="24"/>
              </w:rPr>
            </w:pPr>
          </w:p>
        </w:tc>
        <w:tc>
          <w:tcPr>
            <w:tcW w:w="765" w:type="dxa"/>
            <w:vAlign w:val="center"/>
          </w:tcPr>
          <w:p>
            <w:pPr>
              <w:widowControl/>
              <w:jc w:val="center"/>
              <w:textAlignment w:val="center"/>
              <w:rPr>
                <w:rFonts w:ascii="宋体" w:hAnsi="宋体" w:cs="宋体"/>
                <w:sz w:val="24"/>
              </w:rPr>
            </w:pPr>
          </w:p>
        </w:tc>
        <w:tc>
          <w:tcPr>
            <w:tcW w:w="805" w:type="dxa"/>
            <w:vAlign w:val="center"/>
          </w:tcPr>
          <w:p>
            <w:pPr>
              <w:widowControl/>
              <w:jc w:val="center"/>
              <w:textAlignment w:val="center"/>
              <w:rPr>
                <w:rFonts w:ascii="宋体" w:hAnsi="宋体" w:cs="宋体"/>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rFonts w:ascii="宋体" w:hAnsi="宋体" w:cs="宋体"/>
                <w:sz w:val="24"/>
              </w:rPr>
            </w:pPr>
          </w:p>
        </w:tc>
        <w:tc>
          <w:tcPr>
            <w:tcW w:w="2178" w:type="dxa"/>
            <w:vAlign w:val="center"/>
          </w:tcPr>
          <w:p>
            <w:pPr>
              <w:widowControl/>
              <w:jc w:val="center"/>
              <w:textAlignment w:val="center"/>
              <w:rPr>
                <w:rFonts w:ascii="宋体" w:hAnsi="宋体" w:cs="宋体"/>
                <w:sz w:val="24"/>
              </w:rPr>
            </w:pPr>
          </w:p>
        </w:tc>
        <w:tc>
          <w:tcPr>
            <w:tcW w:w="765" w:type="dxa"/>
            <w:vAlign w:val="center"/>
          </w:tcPr>
          <w:p>
            <w:pPr>
              <w:widowControl/>
              <w:jc w:val="center"/>
              <w:textAlignment w:val="center"/>
              <w:rPr>
                <w:rFonts w:ascii="宋体" w:hAnsi="宋体" w:cs="宋体"/>
                <w:sz w:val="24"/>
              </w:rPr>
            </w:pPr>
          </w:p>
        </w:tc>
        <w:tc>
          <w:tcPr>
            <w:tcW w:w="805" w:type="dxa"/>
            <w:vAlign w:val="center"/>
          </w:tcPr>
          <w:p>
            <w:pPr>
              <w:widowControl/>
              <w:jc w:val="center"/>
              <w:textAlignment w:val="center"/>
              <w:rPr>
                <w:rFonts w:ascii="宋体" w:hAnsi="宋体" w:cs="宋体"/>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sz w:val="24"/>
              </w:rPr>
            </w:pPr>
          </w:p>
        </w:tc>
        <w:tc>
          <w:tcPr>
            <w:tcW w:w="2178" w:type="dxa"/>
            <w:vAlign w:val="center"/>
          </w:tcPr>
          <w:p>
            <w:pPr>
              <w:jc w:val="center"/>
              <w:rPr>
                <w:sz w:val="24"/>
              </w:rPr>
            </w:pPr>
          </w:p>
        </w:tc>
        <w:tc>
          <w:tcPr>
            <w:tcW w:w="765" w:type="dxa"/>
            <w:vAlign w:val="center"/>
          </w:tcPr>
          <w:p>
            <w:pPr>
              <w:widowControl/>
              <w:jc w:val="center"/>
              <w:textAlignment w:val="center"/>
              <w:rPr>
                <w:sz w:val="24"/>
              </w:rPr>
            </w:pPr>
          </w:p>
        </w:tc>
        <w:tc>
          <w:tcPr>
            <w:tcW w:w="805" w:type="dxa"/>
            <w:vAlign w:val="center"/>
          </w:tcPr>
          <w:p>
            <w:pPr>
              <w:widowControl/>
              <w:jc w:val="center"/>
              <w:textAlignment w:val="center"/>
              <w:rPr>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sz w:val="24"/>
              </w:rPr>
            </w:pPr>
          </w:p>
        </w:tc>
        <w:tc>
          <w:tcPr>
            <w:tcW w:w="2178" w:type="dxa"/>
            <w:vAlign w:val="center"/>
          </w:tcPr>
          <w:p>
            <w:pPr>
              <w:jc w:val="center"/>
              <w:rPr>
                <w:sz w:val="24"/>
              </w:rPr>
            </w:pPr>
          </w:p>
        </w:tc>
        <w:tc>
          <w:tcPr>
            <w:tcW w:w="765" w:type="dxa"/>
            <w:vAlign w:val="center"/>
          </w:tcPr>
          <w:p>
            <w:pPr>
              <w:widowControl/>
              <w:jc w:val="center"/>
              <w:textAlignment w:val="center"/>
              <w:rPr>
                <w:sz w:val="24"/>
              </w:rPr>
            </w:pPr>
          </w:p>
        </w:tc>
        <w:tc>
          <w:tcPr>
            <w:tcW w:w="805" w:type="dxa"/>
            <w:vAlign w:val="center"/>
          </w:tcPr>
          <w:p>
            <w:pPr>
              <w:widowControl/>
              <w:jc w:val="center"/>
              <w:textAlignment w:val="center"/>
              <w:rPr>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bl>
    <w:p>
      <w:pPr>
        <w:spacing w:line="400" w:lineRule="exact"/>
        <w:ind w:right="-224" w:rightChars="-112" w:firstLine="477" w:firstLineChars="198"/>
        <w:jc w:val="left"/>
        <w:rPr>
          <w:rFonts w:ascii="宋体" w:hAnsi="宋体"/>
          <w:sz w:val="24"/>
        </w:rPr>
      </w:pPr>
      <w:r>
        <w:rPr>
          <w:rFonts w:hint="eastAsia" w:ascii="宋体" w:hAnsi="宋体"/>
          <w:b/>
          <w:sz w:val="24"/>
        </w:rPr>
        <w:t>注：</w:t>
      </w:r>
      <w:r>
        <w:rPr>
          <w:rFonts w:hint="eastAsia" w:ascii="宋体" w:hAnsi="宋体"/>
          <w:b/>
          <w:sz w:val="24"/>
          <w:lang w:eastAsia="zh-CN"/>
        </w:rPr>
        <w:t>供应商</w:t>
      </w:r>
      <w:r>
        <w:rPr>
          <w:rFonts w:hint="eastAsia" w:ascii="宋体" w:hAnsi="宋体"/>
          <w:b/>
          <w:sz w:val="24"/>
        </w:rPr>
        <w:t>提供的设备必须符合招标文件、投标文件和答疑文件的相关技术要求。当招标文件与投标文件不符时以招标文件为准。</w:t>
      </w:r>
    </w:p>
    <w:p>
      <w:pPr>
        <w:spacing w:line="400" w:lineRule="exact"/>
        <w:ind w:left="456" w:leftChars="228" w:right="-224" w:rightChars="-112"/>
        <w:jc w:val="left"/>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合同价</w:t>
      </w:r>
      <w:r>
        <w:rPr>
          <w:rFonts w:hint="eastAsia" w:ascii="宋体" w:hAnsi="宋体"/>
          <w:sz w:val="24"/>
          <w:lang w:eastAsia="zh-CN"/>
        </w:rPr>
        <w:t>为</w:t>
      </w:r>
      <w:r>
        <w:rPr>
          <w:rFonts w:hint="eastAsia" w:ascii="宋体" w:hAnsi="宋体" w:eastAsia="宋体" w:cs="宋体"/>
          <w:sz w:val="24"/>
          <w:szCs w:val="24"/>
          <w:lang w:eastAsia="zh-CN"/>
        </w:rPr>
        <w:t>人民币</w:t>
      </w:r>
      <w:r>
        <w:rPr>
          <w:rFonts w:hint="eastAsia" w:ascii="宋体" w:hAnsi="宋体" w:eastAsia="宋体" w:cs="宋体"/>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none"/>
          <w:lang w:eastAsia="zh-CN"/>
        </w:rPr>
        <w:t>元整</w:t>
      </w:r>
      <w:r>
        <w:rPr>
          <w:rFonts w:hint="eastAsia" w:ascii="宋体" w:hAnsi="宋体" w:eastAsia="宋体" w:cs="宋体"/>
          <w:kern w:val="0"/>
          <w:sz w:val="24"/>
          <w:szCs w:val="24"/>
        </w:rPr>
        <w:t>（￥：</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sz w:val="24"/>
          <w:szCs w:val="24"/>
          <w:u w:val="none"/>
          <w:lang w:eastAsia="zh-CN"/>
        </w:rPr>
        <w:t>元</w:t>
      </w:r>
      <w:r>
        <w:rPr>
          <w:rFonts w:hint="eastAsia" w:ascii="宋体" w:hAnsi="宋体" w:eastAsia="宋体" w:cs="宋体"/>
          <w:kern w:val="0"/>
          <w:sz w:val="24"/>
          <w:szCs w:val="24"/>
          <w:u w:val="none"/>
        </w:rPr>
        <w:t xml:space="preserve"> </w:t>
      </w:r>
      <w:r>
        <w:rPr>
          <w:rFonts w:hint="eastAsia" w:ascii="宋体" w:hAnsi="宋体" w:eastAsia="宋体" w:cs="宋体"/>
          <w:kern w:val="0"/>
          <w:sz w:val="24"/>
          <w:szCs w:val="24"/>
        </w:rPr>
        <w:t>）</w:t>
      </w:r>
      <w:r>
        <w:rPr>
          <w:rFonts w:hint="eastAsia" w:ascii="宋体" w:hAnsi="宋体"/>
          <w:sz w:val="24"/>
        </w:rPr>
        <w:t>。</w:t>
      </w:r>
    </w:p>
    <w:p>
      <w:pPr>
        <w:spacing w:line="400" w:lineRule="exact"/>
        <w:ind w:left="1"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本合同总价</w:t>
      </w:r>
      <w:r>
        <w:rPr>
          <w:rFonts w:ascii="宋体" w:hAnsi="宋体"/>
          <w:sz w:val="24"/>
        </w:rPr>
        <w:t>主要</w:t>
      </w:r>
      <w:r>
        <w:rPr>
          <w:rFonts w:hint="eastAsia" w:ascii="宋体" w:hAnsi="宋体"/>
          <w:sz w:val="24"/>
        </w:rPr>
        <w:t>包括但不仅限于设备的设计、制造、供货、发货、配件费、材料费、安装费、调试费、指导安装、保险、人工费、管理费、税费、运费、规费、现场勘查费和交付使用、设备在本文规定的质保期内的维修保养，以及为达到与原有设备平台无缝对接使设备能安全、满意的运行设施等，并应保证设备在各方面均能达到正常运行要求的费用，以及招标代理费和其它一切不可预见和实际所需的一切其他费用等，如有漏报，视同已包含在其报价中。</w:t>
      </w:r>
    </w:p>
    <w:p>
      <w:pPr>
        <w:spacing w:line="400" w:lineRule="exact"/>
        <w:ind w:left="1" w:firstLine="480" w:firstLineChars="200"/>
        <w:rPr>
          <w:rFonts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每个设备均应有制造厂家的铭牌，并装在显著的地方，铭牌上至少应包括制造厂名称、型号、制造年份及其他性能资料等可完全识别此项设备所必</w:t>
      </w:r>
      <w:r>
        <w:rPr>
          <w:rFonts w:hint="eastAsia" w:ascii="宋体" w:hAnsi="宋体"/>
          <w:sz w:val="24"/>
          <w:lang w:eastAsia="zh-CN"/>
        </w:rPr>
        <w:t>需</w:t>
      </w:r>
      <w:r>
        <w:rPr>
          <w:rFonts w:hint="eastAsia" w:ascii="宋体" w:hAnsi="宋体"/>
          <w:sz w:val="24"/>
        </w:rPr>
        <w:t>的资料。带有</w:t>
      </w:r>
      <w:r>
        <w:rPr>
          <w:rFonts w:hint="eastAsia" w:ascii="宋体" w:hAnsi="宋体"/>
          <w:sz w:val="24"/>
          <w:u w:val="single"/>
        </w:rPr>
        <w:t>使用说明书、合格证、质保书等</w:t>
      </w:r>
      <w:r>
        <w:rPr>
          <w:rFonts w:hint="eastAsia" w:ascii="宋体" w:hAnsi="宋体"/>
          <w:sz w:val="24"/>
        </w:rPr>
        <w:t>相关技术资料。如发现不合格的设备材料，由</w:t>
      </w:r>
      <w:r>
        <w:rPr>
          <w:rFonts w:hint="eastAsia" w:ascii="宋体" w:hAnsi="宋体"/>
          <w:sz w:val="24"/>
          <w:lang w:eastAsia="zh-CN"/>
        </w:rPr>
        <w:t>供应商</w:t>
      </w:r>
      <w:r>
        <w:rPr>
          <w:rFonts w:hint="eastAsia" w:ascii="宋体" w:hAnsi="宋体"/>
          <w:sz w:val="24"/>
        </w:rPr>
        <w:t>承担全部的经济损失和责任。</w:t>
      </w:r>
    </w:p>
    <w:p>
      <w:pPr>
        <w:spacing w:line="400" w:lineRule="exact"/>
        <w:ind w:left="1" w:right="-224" w:rightChars="-112" w:firstLine="472" w:firstLineChars="196"/>
        <w:rPr>
          <w:rFonts w:ascii="宋体" w:hAnsi="宋体"/>
          <w:b/>
          <w:sz w:val="24"/>
        </w:rPr>
      </w:pPr>
      <w:r>
        <w:rPr>
          <w:rFonts w:hint="eastAsia" w:ascii="宋体" w:hAnsi="宋体"/>
          <w:b/>
          <w:sz w:val="24"/>
        </w:rPr>
        <w:t>二、设备的质量、技术标准</w:t>
      </w:r>
    </w:p>
    <w:p>
      <w:pPr>
        <w:spacing w:line="440" w:lineRule="exact"/>
        <w:ind w:firstLine="480" w:firstLineChars="200"/>
        <w:rPr>
          <w:rFonts w:ascii="宋体" w:hAnsi="宋体"/>
          <w:sz w:val="24"/>
        </w:rPr>
      </w:pPr>
      <w:r>
        <w:rPr>
          <w:rFonts w:hint="eastAsia" w:ascii="宋体" w:hAnsi="宋体"/>
          <w:sz w:val="24"/>
        </w:rPr>
        <w:t>技术指标：详见招标文件采购需求。</w:t>
      </w:r>
    </w:p>
    <w:p>
      <w:pPr>
        <w:spacing w:line="400" w:lineRule="exact"/>
        <w:ind w:right="-224" w:rightChars="-112" w:firstLine="480" w:firstLineChars="200"/>
        <w:rPr>
          <w:rFonts w:ascii="宋体" w:hAnsi="宋体"/>
          <w:b/>
          <w:sz w:val="24"/>
        </w:rPr>
      </w:pPr>
      <w:r>
        <w:rPr>
          <w:rFonts w:hint="eastAsia" w:ascii="宋体" w:hAnsi="宋体"/>
          <w:sz w:val="24"/>
        </w:rPr>
        <w:t>三</w:t>
      </w:r>
      <w:r>
        <w:rPr>
          <w:rFonts w:hint="eastAsia" w:ascii="宋体" w:hAnsi="宋体"/>
          <w:b/>
          <w:sz w:val="24"/>
        </w:rPr>
        <w:t>、知识产权</w:t>
      </w:r>
    </w:p>
    <w:p>
      <w:pPr>
        <w:spacing w:line="400" w:lineRule="exact"/>
        <w:ind w:left="1" w:right="-224" w:rightChars="-112" w:firstLine="480" w:firstLineChars="200"/>
        <w:rPr>
          <w:rFonts w:ascii="宋体" w:hAnsi="宋体"/>
          <w:sz w:val="24"/>
        </w:rPr>
      </w:pPr>
      <w:r>
        <w:rPr>
          <w:rFonts w:hint="eastAsia" w:ascii="宋体" w:hAnsi="宋体"/>
          <w:sz w:val="24"/>
          <w:lang w:eastAsia="zh-CN"/>
        </w:rPr>
        <w:t>供应商</w:t>
      </w:r>
      <w:r>
        <w:rPr>
          <w:rFonts w:hint="eastAsia" w:ascii="宋体" w:hAnsi="宋体"/>
          <w:sz w:val="24"/>
        </w:rPr>
        <w:t>对一切可能的侵权指控负责。</w:t>
      </w:r>
    </w:p>
    <w:p>
      <w:pPr>
        <w:spacing w:line="400" w:lineRule="exact"/>
        <w:ind w:right="-224" w:rightChars="-112" w:firstLine="472" w:firstLineChars="196"/>
        <w:rPr>
          <w:rFonts w:ascii="宋体" w:hAnsi="宋体"/>
          <w:b/>
          <w:sz w:val="24"/>
        </w:rPr>
      </w:pPr>
      <w:r>
        <w:rPr>
          <w:rFonts w:hint="eastAsia" w:ascii="宋体" w:hAnsi="宋体"/>
          <w:b/>
          <w:sz w:val="24"/>
        </w:rPr>
        <w:t>四、设备包装、运输、装卸和保险</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为了保证设备在长途运输和装卸过程中的安全，设备包装应符合国家或专业（部）标准规定。由于包装不善导致设备锈蚀、失缺或损坏，由</w:t>
      </w:r>
      <w:r>
        <w:rPr>
          <w:rFonts w:hint="eastAsia" w:ascii="宋体" w:hAnsi="宋体"/>
          <w:sz w:val="24"/>
          <w:lang w:eastAsia="zh-CN"/>
        </w:rPr>
        <w:t>供应商</w:t>
      </w:r>
      <w:r>
        <w:rPr>
          <w:rFonts w:hint="eastAsia" w:ascii="宋体" w:hAnsi="宋体"/>
          <w:sz w:val="24"/>
        </w:rPr>
        <w:t>承担一切责任。</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每一包装箱内必须附有装箱清单。</w:t>
      </w:r>
    </w:p>
    <w:p>
      <w:pPr>
        <w:spacing w:line="400" w:lineRule="exact"/>
        <w:ind w:left="1" w:right="-224" w:rightChars="-112"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货物在装运前由</w:t>
      </w:r>
      <w:r>
        <w:rPr>
          <w:rFonts w:hint="eastAsia" w:ascii="宋体" w:hAnsi="宋体"/>
          <w:sz w:val="24"/>
          <w:lang w:eastAsia="zh-CN"/>
        </w:rPr>
        <w:t>供应商</w:t>
      </w:r>
      <w:r>
        <w:rPr>
          <w:rFonts w:hint="eastAsia" w:ascii="宋体" w:hAnsi="宋体"/>
          <w:sz w:val="24"/>
        </w:rPr>
        <w:t>投保，一旦货物在装车、运输过程中发生损坏或短缺，由</w:t>
      </w:r>
      <w:r>
        <w:rPr>
          <w:rFonts w:hint="eastAsia" w:ascii="宋体" w:hAnsi="宋体"/>
          <w:sz w:val="24"/>
          <w:lang w:eastAsia="zh-CN"/>
        </w:rPr>
        <w:t>供应商</w:t>
      </w:r>
      <w:r>
        <w:rPr>
          <w:rFonts w:hint="eastAsia" w:ascii="宋体" w:hAnsi="宋体"/>
          <w:sz w:val="24"/>
        </w:rPr>
        <w:t>负责索赔。</w:t>
      </w:r>
    </w:p>
    <w:p>
      <w:pPr>
        <w:spacing w:line="400" w:lineRule="exact"/>
        <w:ind w:left="1" w:right="-224" w:rightChars="-112" w:firstLine="480" w:firstLineChars="200"/>
        <w:rPr>
          <w:rFonts w:ascii="宋体" w:hAnsi="宋体"/>
          <w:sz w:val="24"/>
        </w:rPr>
      </w:pPr>
      <w:r>
        <w:rPr>
          <w:rFonts w:hint="eastAsia" w:ascii="宋体" w:hAnsi="宋体"/>
          <w:sz w:val="24"/>
        </w:rPr>
        <w:t>4</w:t>
      </w:r>
      <w:r>
        <w:rPr>
          <w:rFonts w:hint="default" w:ascii="宋体" w:hAnsi="宋体"/>
          <w:sz w:val="24"/>
        </w:rPr>
        <w:t>.</w:t>
      </w:r>
      <w:r>
        <w:rPr>
          <w:rFonts w:hint="eastAsia" w:ascii="宋体" w:hAnsi="宋体"/>
          <w:sz w:val="24"/>
          <w:lang w:eastAsia="zh-CN"/>
        </w:rPr>
        <w:t>供应商</w:t>
      </w:r>
      <w:r>
        <w:rPr>
          <w:rFonts w:hint="eastAsia" w:ascii="宋体" w:hAnsi="宋体"/>
          <w:sz w:val="24"/>
        </w:rPr>
        <w:t>保证在确认货物因装车、运输中发生损坏或短缺后，尽快给予调换、修复和补齐缺件，不管其造成的原因如何，也不能以办理索赔为由而拖延。</w:t>
      </w:r>
    </w:p>
    <w:p>
      <w:pPr>
        <w:spacing w:line="400" w:lineRule="exact"/>
        <w:ind w:left="1" w:right="-224" w:rightChars="-112" w:firstLine="480" w:firstLineChars="200"/>
        <w:rPr>
          <w:rFonts w:ascii="宋体" w:hAnsi="宋体"/>
          <w:sz w:val="24"/>
        </w:rPr>
      </w:pPr>
      <w:r>
        <w:rPr>
          <w:rFonts w:hint="eastAsia" w:ascii="宋体" w:hAnsi="宋体"/>
          <w:sz w:val="24"/>
        </w:rPr>
        <w:t>5</w:t>
      </w:r>
      <w:r>
        <w:rPr>
          <w:rFonts w:hint="default" w:ascii="宋体" w:hAnsi="宋体"/>
          <w:sz w:val="24"/>
        </w:rPr>
        <w:t>.</w:t>
      </w:r>
      <w:r>
        <w:rPr>
          <w:rFonts w:hint="eastAsia" w:ascii="宋体" w:hAnsi="宋体"/>
          <w:sz w:val="24"/>
          <w:lang w:eastAsia="zh-CN"/>
        </w:rPr>
        <w:t>供应商</w:t>
      </w:r>
      <w:r>
        <w:rPr>
          <w:rFonts w:hint="eastAsia" w:ascii="宋体" w:hAnsi="宋体"/>
          <w:sz w:val="24"/>
        </w:rPr>
        <w:t>在设备发运前15天将准备发运的设备名称、规格、数量、包装箱件数、每件包装箱的尺码、毛重及对货物贮存的特殊要求以传真的形式通知</w:t>
      </w:r>
      <w:r>
        <w:rPr>
          <w:rFonts w:hint="eastAsia" w:ascii="宋体" w:hAnsi="宋体"/>
          <w:sz w:val="24"/>
          <w:lang w:eastAsia="zh-CN"/>
        </w:rPr>
        <w:t>采购方</w:t>
      </w:r>
      <w:r>
        <w:rPr>
          <w:rFonts w:hint="eastAsia" w:ascii="宋体" w:hAnsi="宋体"/>
          <w:sz w:val="24"/>
        </w:rPr>
        <w:t>，以便接货。</w:t>
      </w:r>
    </w:p>
    <w:p>
      <w:pPr>
        <w:spacing w:line="400" w:lineRule="exact"/>
        <w:ind w:left="1" w:right="-224" w:rightChars="-112" w:firstLine="472" w:firstLineChars="196"/>
        <w:rPr>
          <w:rFonts w:ascii="宋体" w:hAnsi="宋体"/>
          <w:b/>
          <w:sz w:val="24"/>
        </w:rPr>
      </w:pPr>
      <w:r>
        <w:rPr>
          <w:rFonts w:hint="eastAsia" w:ascii="宋体" w:hAnsi="宋体"/>
          <w:b/>
          <w:sz w:val="24"/>
        </w:rPr>
        <w:t>五、合同交货期、交货方式、地点</w:t>
      </w:r>
    </w:p>
    <w:p>
      <w:pPr>
        <w:spacing w:line="400" w:lineRule="exact"/>
        <w:ind w:left="1" w:right="-224" w:rightChars="-112" w:firstLine="480" w:firstLineChars="200"/>
        <w:rPr>
          <w:rFonts w:hint="eastAsia" w:ascii="宋体" w:hAnsi="宋体" w:eastAsia="宋体"/>
          <w:sz w:val="24"/>
          <w:lang w:eastAsia="zh-CN"/>
        </w:rPr>
      </w:pPr>
      <w:r>
        <w:rPr>
          <w:rFonts w:hint="eastAsia" w:ascii="宋体" w:hAnsi="宋体"/>
          <w:sz w:val="24"/>
        </w:rPr>
        <w:t>1</w:t>
      </w:r>
      <w:r>
        <w:rPr>
          <w:rFonts w:hint="default" w:ascii="宋体" w:hAnsi="宋体"/>
          <w:sz w:val="24"/>
        </w:rPr>
        <w:t>.</w:t>
      </w:r>
      <w:r>
        <w:rPr>
          <w:rFonts w:hint="eastAsia" w:ascii="宋体" w:hAnsi="宋体"/>
          <w:sz w:val="24"/>
        </w:rPr>
        <w:t>供货时间：</w:t>
      </w:r>
      <w:r>
        <w:rPr>
          <w:rFonts w:hint="eastAsia" w:ascii="宋体" w:hAnsi="宋体" w:eastAsia="宋体"/>
          <w:sz w:val="24"/>
          <w:lang w:val="en-US" w:eastAsia="zh-CN"/>
        </w:rPr>
        <w:t>合同签订后40日内</w:t>
      </w:r>
      <w:r>
        <w:rPr>
          <w:rFonts w:hint="eastAsia" w:ascii="宋体" w:hAnsi="宋体" w:eastAsia="宋体"/>
          <w:sz w:val="24"/>
        </w:rPr>
        <w:t>完成供货及安装</w:t>
      </w:r>
      <w:r>
        <w:rPr>
          <w:rFonts w:hint="eastAsia" w:ascii="宋体" w:hAnsi="宋体" w:eastAsia="宋体"/>
          <w:sz w:val="24"/>
          <w:lang w:eastAsia="zh-CN"/>
        </w:rPr>
        <w:t>调试。</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供货地点：</w:t>
      </w:r>
      <w:r>
        <w:rPr>
          <w:rFonts w:hint="eastAsia" w:ascii="宋体" w:hAnsi="宋体"/>
          <w:sz w:val="24"/>
          <w:lang w:eastAsia="zh-CN"/>
        </w:rPr>
        <w:t>采购方</w:t>
      </w:r>
      <w:r>
        <w:rPr>
          <w:rFonts w:hint="eastAsia" w:ascii="宋体" w:hAnsi="宋体"/>
          <w:sz w:val="24"/>
        </w:rPr>
        <w:t>指定地点（安装现场）</w:t>
      </w:r>
    </w:p>
    <w:p>
      <w:pPr>
        <w:spacing w:line="400" w:lineRule="exact"/>
        <w:ind w:left="1" w:right="-224" w:rightChars="-112" w:firstLine="472" w:firstLineChars="196"/>
        <w:rPr>
          <w:rFonts w:ascii="宋体" w:hAnsi="宋体"/>
          <w:b/>
          <w:sz w:val="24"/>
        </w:rPr>
      </w:pPr>
      <w:r>
        <w:rPr>
          <w:rFonts w:hint="eastAsia" w:ascii="宋体" w:hAnsi="宋体"/>
          <w:b/>
          <w:sz w:val="24"/>
        </w:rPr>
        <w:t>六、质量保证</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lang w:eastAsia="zh-CN"/>
        </w:rPr>
        <w:t>供应商</w:t>
      </w:r>
      <w:r>
        <w:rPr>
          <w:rFonts w:hint="eastAsia" w:ascii="宋体" w:hAnsi="宋体"/>
          <w:sz w:val="24"/>
        </w:rPr>
        <w:t>保证所提供的设备是全新的、未使用过的。</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lang w:eastAsia="zh-CN"/>
        </w:rPr>
        <w:t>供应商</w:t>
      </w:r>
      <w:r>
        <w:rPr>
          <w:rFonts w:hint="eastAsia" w:ascii="宋体" w:hAnsi="宋体"/>
          <w:sz w:val="24"/>
        </w:rPr>
        <w:t>保证采用先进的技术、优质的材料和零部件、一流的工艺、严格的质量管理为</w:t>
      </w:r>
      <w:r>
        <w:rPr>
          <w:rFonts w:hint="eastAsia" w:ascii="宋体" w:hAnsi="宋体"/>
          <w:sz w:val="24"/>
          <w:lang w:eastAsia="zh-CN"/>
        </w:rPr>
        <w:t>采购方</w:t>
      </w:r>
      <w:r>
        <w:rPr>
          <w:rFonts w:hint="eastAsia" w:ascii="宋体" w:hAnsi="宋体"/>
          <w:sz w:val="24"/>
        </w:rPr>
        <w:t>提供技术先进、质量上乘、外表美观并完全符合合同规定的质量、规格、性能要求的设备。</w:t>
      </w:r>
    </w:p>
    <w:p>
      <w:pPr>
        <w:spacing w:line="400" w:lineRule="exact"/>
        <w:ind w:left="1" w:right="-224" w:rightChars="-112"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lang w:eastAsia="zh-CN"/>
        </w:rPr>
        <w:t>供应商</w:t>
      </w:r>
      <w:r>
        <w:rPr>
          <w:rFonts w:hint="eastAsia" w:ascii="宋体" w:hAnsi="宋体"/>
          <w:sz w:val="24"/>
        </w:rPr>
        <w:t>应对外购或外协的零部件的质量和技术性能负全部责任。</w:t>
      </w:r>
    </w:p>
    <w:p>
      <w:pPr>
        <w:spacing w:line="400" w:lineRule="exact"/>
        <w:ind w:left="1" w:right="-224" w:rightChars="-112" w:firstLine="480" w:firstLineChars="200"/>
        <w:rPr>
          <w:rFonts w:ascii="宋体" w:hAnsi="宋体"/>
          <w:sz w:val="24"/>
        </w:rPr>
      </w:pPr>
      <w:r>
        <w:rPr>
          <w:rFonts w:hint="eastAsia" w:ascii="宋体" w:hAnsi="宋体"/>
          <w:sz w:val="24"/>
        </w:rPr>
        <w:t>4</w:t>
      </w:r>
      <w:r>
        <w:rPr>
          <w:rFonts w:hint="default" w:ascii="宋体" w:hAnsi="宋体"/>
          <w:sz w:val="24"/>
        </w:rPr>
        <w:t>.</w:t>
      </w:r>
      <w:r>
        <w:rPr>
          <w:rFonts w:hint="eastAsia" w:ascii="宋体" w:hAnsi="宋体"/>
          <w:sz w:val="24"/>
          <w:lang w:eastAsia="zh-CN"/>
        </w:rPr>
        <w:t>供应商</w:t>
      </w:r>
      <w:r>
        <w:rPr>
          <w:rFonts w:hint="eastAsia" w:ascii="宋体" w:hAnsi="宋体"/>
          <w:sz w:val="24"/>
        </w:rPr>
        <w:t>保证所提供的设备在正确安装、正常使用和维护保养的情况下，具有使</w:t>
      </w:r>
      <w:r>
        <w:rPr>
          <w:rFonts w:hint="eastAsia" w:ascii="宋体" w:hAnsi="宋体"/>
          <w:sz w:val="24"/>
          <w:lang w:eastAsia="zh-CN"/>
        </w:rPr>
        <w:t>采购方</w:t>
      </w:r>
      <w:r>
        <w:rPr>
          <w:rFonts w:hint="eastAsia" w:ascii="宋体" w:hAnsi="宋体"/>
          <w:sz w:val="24"/>
        </w:rPr>
        <w:t>满意的使用性能和使用寿命。</w:t>
      </w:r>
    </w:p>
    <w:p>
      <w:pPr>
        <w:spacing w:line="400" w:lineRule="exact"/>
        <w:ind w:left="1" w:right="-224" w:rightChars="-112" w:firstLine="472" w:firstLineChars="196"/>
        <w:rPr>
          <w:rFonts w:ascii="宋体" w:hAnsi="宋体"/>
          <w:b/>
          <w:sz w:val="24"/>
        </w:rPr>
      </w:pPr>
      <w:r>
        <w:rPr>
          <w:rFonts w:hint="eastAsia" w:ascii="宋体" w:hAnsi="宋体"/>
          <w:b/>
          <w:sz w:val="24"/>
        </w:rPr>
        <w:t>七、付款方式</w:t>
      </w:r>
    </w:p>
    <w:p>
      <w:pPr>
        <w:numPr>
          <w:ilvl w:val="-1"/>
          <w:numId w:val="0"/>
        </w:numPr>
        <w:spacing w:line="360" w:lineRule="auto"/>
        <w:ind w:firstLine="482" w:firstLineChars="200"/>
        <w:rPr>
          <w:color w:val="auto"/>
        </w:rPr>
      </w:pPr>
      <w:r>
        <w:rPr>
          <w:rFonts w:hint="eastAsia" w:ascii="宋体" w:hAnsi="宋体" w:cs="宋体"/>
          <w:b/>
          <w:bCs/>
          <w:color w:val="auto"/>
          <w:sz w:val="24"/>
          <w:szCs w:val="24"/>
          <w:highlight w:val="none"/>
          <w:lang w:val="en-US" w:eastAsia="zh-CN"/>
        </w:rPr>
        <w:t>1</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中标人在收到中标通知书后，需向采购人提供合同总价1%的履约保证金；在完成全部供货并提交全部资料并通过验收合格后退还（不计息）</w:t>
      </w:r>
      <w:r>
        <w:rPr>
          <w:rFonts w:hint="eastAsia" w:ascii="宋体" w:hAnsi="宋体"/>
          <w:color w:val="auto"/>
          <w:sz w:val="24"/>
          <w:szCs w:val="24"/>
        </w:rPr>
        <w:t>，</w:t>
      </w:r>
      <w:r>
        <w:rPr>
          <w:rFonts w:hint="default" w:ascii="宋体" w:hAnsi="宋体"/>
          <w:color w:val="auto"/>
          <w:sz w:val="24"/>
          <w:szCs w:val="24"/>
        </w:rPr>
        <w:t>中标人</w:t>
      </w:r>
      <w:r>
        <w:rPr>
          <w:rFonts w:hint="eastAsia" w:ascii="宋体" w:hAnsi="宋体"/>
          <w:color w:val="auto"/>
          <w:sz w:val="24"/>
          <w:szCs w:val="24"/>
        </w:rPr>
        <w:t>以保函形式提交履约担保的，保函自动失效（由于中标人引起的工期延误的，则履约担保有效期顺延）</w:t>
      </w:r>
      <w:r>
        <w:rPr>
          <w:rFonts w:hint="eastAsia" w:ascii="宋体" w:hAnsi="宋体" w:cs="宋体"/>
          <w:b/>
          <w:bCs/>
          <w:color w:val="auto"/>
          <w:sz w:val="24"/>
          <w:szCs w:val="24"/>
          <w:highlight w:val="none"/>
        </w:rPr>
        <w:t>。</w:t>
      </w:r>
    </w:p>
    <w:p>
      <w:pPr>
        <w:spacing w:line="360" w:lineRule="auto"/>
        <w:ind w:firstLine="482" w:firstLineChars="200"/>
        <w:rPr>
          <w:rFonts w:hint="eastAsia"/>
          <w:color w:val="auto"/>
          <w:sz w:val="24"/>
          <w:szCs w:val="24"/>
          <w:highlight w:val="none"/>
        </w:rPr>
      </w:pPr>
      <w:r>
        <w:rPr>
          <w:rFonts w:hint="eastAsia" w:ascii="宋体" w:hAnsi="宋体" w:cs="宋体"/>
          <w:b/>
          <w:bCs/>
          <w:color w:val="auto"/>
          <w:sz w:val="24"/>
          <w:szCs w:val="24"/>
          <w:highlight w:val="none"/>
          <w:lang w:val="en-US" w:eastAsia="zh-CN"/>
        </w:rPr>
        <w:t>2</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验收合格</w:t>
      </w:r>
      <w:r>
        <w:rPr>
          <w:rFonts w:hint="eastAsia" w:ascii="宋体" w:hAnsi="宋体" w:cs="宋体"/>
          <w:b/>
          <w:bCs/>
          <w:color w:val="auto"/>
          <w:sz w:val="24"/>
          <w:szCs w:val="24"/>
          <w:highlight w:val="none"/>
          <w:lang w:eastAsia="zh-CN"/>
        </w:rPr>
        <w:t>后</w:t>
      </w:r>
      <w:r>
        <w:rPr>
          <w:rFonts w:hint="eastAsia" w:ascii="宋体" w:hAnsi="宋体" w:cs="宋体"/>
          <w:b/>
          <w:bCs/>
          <w:color w:val="auto"/>
          <w:sz w:val="24"/>
          <w:szCs w:val="24"/>
          <w:highlight w:val="none"/>
        </w:rPr>
        <w:t>支付至</w:t>
      </w:r>
      <w:r>
        <w:rPr>
          <w:rFonts w:hint="eastAsia" w:ascii="宋体" w:hAnsi="宋体" w:cs="宋体"/>
          <w:b/>
          <w:bCs/>
          <w:color w:val="auto"/>
          <w:sz w:val="24"/>
          <w:szCs w:val="24"/>
          <w:highlight w:val="none"/>
          <w:lang w:eastAsia="zh-CN"/>
        </w:rPr>
        <w:t>合同价</w:t>
      </w:r>
      <w:r>
        <w:rPr>
          <w:rFonts w:hint="eastAsia" w:ascii="宋体" w:hAnsi="宋体" w:cs="宋体"/>
          <w:b/>
          <w:bCs/>
          <w:color w:val="auto"/>
          <w:sz w:val="24"/>
          <w:szCs w:val="24"/>
          <w:highlight w:val="none"/>
        </w:rPr>
        <w:t>的9</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%，同时提供税率为13%的全额增值税专用发票；剩余的</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%在质保期满后支付。</w:t>
      </w:r>
    </w:p>
    <w:p>
      <w:pPr>
        <w:spacing w:line="400" w:lineRule="exact"/>
        <w:ind w:left="1" w:right="-224" w:rightChars="-112" w:firstLine="472" w:firstLineChars="196"/>
        <w:rPr>
          <w:rFonts w:hint="eastAsia" w:ascii="宋体" w:hAnsi="宋体" w:eastAsia="宋体"/>
          <w:b/>
          <w:sz w:val="24"/>
        </w:rPr>
      </w:pPr>
      <w:r>
        <w:rPr>
          <w:rFonts w:hint="eastAsia" w:ascii="宋体" w:hAnsi="宋体" w:eastAsia="宋体"/>
          <w:b/>
          <w:sz w:val="24"/>
          <w:lang w:eastAsia="zh-CN"/>
        </w:rPr>
        <w:t>八</w:t>
      </w:r>
      <w:r>
        <w:rPr>
          <w:rFonts w:hint="eastAsia" w:ascii="宋体" w:hAnsi="宋体" w:eastAsia="宋体"/>
          <w:b/>
          <w:sz w:val="24"/>
        </w:rPr>
        <w:t>、安装与验收</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1</w:t>
      </w:r>
      <w:r>
        <w:rPr>
          <w:rFonts w:hint="default" w:ascii="宋体" w:hAnsi="宋体"/>
          <w:sz w:val="24"/>
        </w:rPr>
        <w:t>.</w:t>
      </w:r>
      <w:r>
        <w:rPr>
          <w:rFonts w:hint="eastAsia" w:ascii="宋体" w:hAnsi="宋体" w:eastAsia="宋体"/>
          <w:sz w:val="24"/>
        </w:rPr>
        <w:t>到货验收：货物运抵</w:t>
      </w:r>
      <w:r>
        <w:rPr>
          <w:rFonts w:hint="eastAsia" w:ascii="宋体" w:hAnsi="宋体"/>
          <w:sz w:val="24"/>
          <w:lang w:eastAsia="zh-CN"/>
        </w:rPr>
        <w:t>采购方</w:t>
      </w:r>
      <w:r>
        <w:rPr>
          <w:rFonts w:hint="eastAsia" w:ascii="宋体" w:hAnsi="宋体" w:eastAsia="宋体"/>
          <w:sz w:val="24"/>
        </w:rPr>
        <w:t>指定地点后，</w:t>
      </w:r>
      <w:r>
        <w:rPr>
          <w:rFonts w:hint="eastAsia" w:ascii="宋体" w:hAnsi="宋体"/>
          <w:sz w:val="24"/>
          <w:lang w:eastAsia="zh-CN"/>
        </w:rPr>
        <w:t>采购方</w:t>
      </w:r>
      <w:r>
        <w:rPr>
          <w:rFonts w:hint="eastAsia" w:ascii="宋体" w:hAnsi="宋体" w:eastAsia="宋体"/>
          <w:sz w:val="24"/>
        </w:rPr>
        <w:t>应依据本合同及询价文件上的技术规格要求和国家有关质量标准及时进行验收。如发生所供货物与合同约定不符，</w:t>
      </w:r>
      <w:r>
        <w:rPr>
          <w:rFonts w:hint="eastAsia" w:ascii="宋体" w:hAnsi="宋体"/>
          <w:sz w:val="24"/>
          <w:lang w:eastAsia="zh-CN"/>
        </w:rPr>
        <w:t>采购方</w:t>
      </w:r>
      <w:r>
        <w:rPr>
          <w:rFonts w:hint="eastAsia" w:ascii="宋体" w:hAnsi="宋体" w:eastAsia="宋体"/>
          <w:sz w:val="24"/>
        </w:rPr>
        <w:t>有权退货或要求</w:t>
      </w:r>
      <w:r>
        <w:rPr>
          <w:rFonts w:hint="eastAsia" w:ascii="宋体" w:hAnsi="宋体"/>
          <w:sz w:val="24"/>
          <w:lang w:eastAsia="zh-CN"/>
        </w:rPr>
        <w:t>供应商</w:t>
      </w:r>
      <w:r>
        <w:rPr>
          <w:rFonts w:hint="eastAsia" w:ascii="宋体" w:hAnsi="宋体" w:eastAsia="宋体"/>
          <w:sz w:val="24"/>
        </w:rPr>
        <w:t>进行更换、补齐，因此造成逾期交货的，</w:t>
      </w:r>
      <w:r>
        <w:rPr>
          <w:rFonts w:hint="eastAsia" w:ascii="宋体" w:hAnsi="宋体"/>
          <w:sz w:val="24"/>
          <w:lang w:eastAsia="zh-CN"/>
        </w:rPr>
        <w:t>供应商</w:t>
      </w:r>
      <w:r>
        <w:rPr>
          <w:rFonts w:hint="eastAsia" w:ascii="宋体" w:hAnsi="宋体" w:eastAsia="宋体"/>
          <w:sz w:val="24"/>
        </w:rPr>
        <w:t>应承担逾期交货的违约责任。</w:t>
      </w:r>
      <w:r>
        <w:rPr>
          <w:rFonts w:hint="eastAsia" w:ascii="宋体" w:hAnsi="宋体"/>
          <w:sz w:val="24"/>
          <w:lang w:eastAsia="zh-CN"/>
        </w:rPr>
        <w:t>供应商</w:t>
      </w:r>
      <w:r>
        <w:rPr>
          <w:rFonts w:hint="eastAsia" w:ascii="宋体" w:hAnsi="宋体" w:eastAsia="宋体"/>
          <w:sz w:val="24"/>
        </w:rPr>
        <w:t>应在接到</w:t>
      </w:r>
      <w:r>
        <w:rPr>
          <w:rFonts w:hint="eastAsia" w:ascii="宋体" w:hAnsi="宋体"/>
          <w:sz w:val="24"/>
          <w:lang w:eastAsia="zh-CN"/>
        </w:rPr>
        <w:t>采购方</w:t>
      </w:r>
      <w:r>
        <w:rPr>
          <w:rFonts w:hint="eastAsia" w:ascii="宋体" w:hAnsi="宋体" w:eastAsia="宋体"/>
          <w:sz w:val="24"/>
        </w:rPr>
        <w:t>要求后7日内予以补救，所产生的费用及法律后果由</w:t>
      </w:r>
      <w:r>
        <w:rPr>
          <w:rFonts w:hint="eastAsia" w:ascii="宋体" w:hAnsi="宋体"/>
          <w:sz w:val="24"/>
          <w:lang w:eastAsia="zh-CN"/>
        </w:rPr>
        <w:t>供应商</w:t>
      </w:r>
      <w:r>
        <w:rPr>
          <w:rFonts w:hint="eastAsia" w:ascii="宋体" w:hAnsi="宋体" w:eastAsia="宋体"/>
          <w:sz w:val="24"/>
        </w:rPr>
        <w:t>承担。</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2</w:t>
      </w:r>
      <w:r>
        <w:rPr>
          <w:rFonts w:hint="default" w:ascii="宋体" w:hAnsi="宋体"/>
          <w:sz w:val="24"/>
        </w:rPr>
        <w:t>.</w:t>
      </w:r>
      <w:r>
        <w:rPr>
          <w:rFonts w:hint="eastAsia" w:ascii="宋体" w:hAnsi="宋体" w:eastAsia="宋体"/>
          <w:sz w:val="24"/>
        </w:rPr>
        <w:t>安装调试：</w:t>
      </w:r>
      <w:r>
        <w:rPr>
          <w:rFonts w:hint="eastAsia" w:ascii="宋体" w:hAnsi="宋体"/>
          <w:sz w:val="24"/>
          <w:lang w:eastAsia="zh-CN"/>
        </w:rPr>
        <w:t>采购方</w:t>
      </w:r>
      <w:r>
        <w:rPr>
          <w:rFonts w:hint="eastAsia" w:ascii="宋体" w:hAnsi="宋体" w:eastAsia="宋体"/>
          <w:sz w:val="24"/>
        </w:rPr>
        <w:t>对</w:t>
      </w:r>
      <w:r>
        <w:rPr>
          <w:rFonts w:hint="eastAsia" w:ascii="宋体" w:hAnsi="宋体"/>
          <w:sz w:val="24"/>
          <w:lang w:eastAsia="zh-CN"/>
        </w:rPr>
        <w:t>供应商</w:t>
      </w:r>
      <w:r>
        <w:rPr>
          <w:rFonts w:hint="eastAsia" w:ascii="宋体" w:hAnsi="宋体" w:eastAsia="宋体"/>
          <w:sz w:val="24"/>
        </w:rPr>
        <w:t>提供的货物在使用前进行调试时，</w:t>
      </w:r>
      <w:r>
        <w:rPr>
          <w:rFonts w:hint="eastAsia" w:ascii="宋体" w:hAnsi="宋体"/>
          <w:sz w:val="24"/>
          <w:lang w:eastAsia="zh-CN"/>
        </w:rPr>
        <w:t>供应商</w:t>
      </w:r>
      <w:r>
        <w:rPr>
          <w:rFonts w:hint="eastAsia" w:ascii="宋体" w:hAnsi="宋体" w:eastAsia="宋体"/>
          <w:sz w:val="24"/>
        </w:rPr>
        <w:t>需在</w:t>
      </w:r>
      <w:r>
        <w:rPr>
          <w:rFonts w:hint="eastAsia" w:ascii="宋体" w:hAnsi="宋体"/>
          <w:sz w:val="24"/>
          <w:lang w:eastAsia="zh-CN"/>
        </w:rPr>
        <w:t>采购方</w:t>
      </w:r>
      <w:r>
        <w:rPr>
          <w:rFonts w:hint="eastAsia" w:ascii="宋体" w:hAnsi="宋体" w:eastAsia="宋体"/>
          <w:sz w:val="24"/>
        </w:rPr>
        <w:t>指定时间内负责安装并培训</w:t>
      </w:r>
      <w:r>
        <w:rPr>
          <w:rFonts w:hint="eastAsia" w:ascii="宋体" w:hAnsi="宋体"/>
          <w:sz w:val="24"/>
          <w:lang w:eastAsia="zh-CN"/>
        </w:rPr>
        <w:t>采购方</w:t>
      </w:r>
      <w:r>
        <w:rPr>
          <w:rFonts w:hint="eastAsia" w:ascii="宋体" w:hAnsi="宋体" w:eastAsia="宋体"/>
          <w:sz w:val="24"/>
        </w:rPr>
        <w:t>的使用操作人员，并协助</w:t>
      </w:r>
      <w:r>
        <w:rPr>
          <w:rFonts w:hint="eastAsia" w:ascii="宋体" w:hAnsi="宋体"/>
          <w:sz w:val="24"/>
          <w:lang w:eastAsia="zh-CN"/>
        </w:rPr>
        <w:t>采购方</w:t>
      </w:r>
      <w:r>
        <w:rPr>
          <w:rFonts w:hint="eastAsia" w:ascii="宋体" w:hAnsi="宋体" w:eastAsia="宋体"/>
          <w:sz w:val="24"/>
        </w:rPr>
        <w:t>一起调试，直到符合技术要求。安装调试所需的专用工具、备品备件以及合同规定的其他事项由</w:t>
      </w:r>
      <w:r>
        <w:rPr>
          <w:rFonts w:hint="eastAsia" w:ascii="宋体" w:hAnsi="宋体"/>
          <w:sz w:val="24"/>
          <w:lang w:eastAsia="zh-CN"/>
        </w:rPr>
        <w:t>供应商</w:t>
      </w:r>
      <w:r>
        <w:rPr>
          <w:rFonts w:hint="eastAsia" w:ascii="宋体" w:hAnsi="宋体" w:eastAsia="宋体"/>
          <w:sz w:val="24"/>
        </w:rPr>
        <w:t>提供。</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安装调试过程中，</w:t>
      </w:r>
      <w:r>
        <w:rPr>
          <w:rFonts w:hint="eastAsia" w:ascii="宋体" w:hAnsi="宋体"/>
          <w:sz w:val="24"/>
          <w:lang w:eastAsia="zh-CN"/>
        </w:rPr>
        <w:t>供应商</w:t>
      </w:r>
      <w:r>
        <w:rPr>
          <w:rFonts w:hint="eastAsia" w:ascii="宋体" w:hAnsi="宋体" w:eastAsia="宋体"/>
          <w:sz w:val="24"/>
        </w:rPr>
        <w:t>应采取安全保障措施，保证人员安全。如因</w:t>
      </w:r>
      <w:r>
        <w:rPr>
          <w:rFonts w:hint="eastAsia" w:ascii="宋体" w:hAnsi="宋体"/>
          <w:sz w:val="24"/>
          <w:lang w:eastAsia="zh-CN"/>
        </w:rPr>
        <w:t>供应商</w:t>
      </w:r>
      <w:r>
        <w:rPr>
          <w:rFonts w:hint="eastAsia" w:ascii="宋体" w:hAnsi="宋体" w:eastAsia="宋体"/>
          <w:sz w:val="24"/>
        </w:rPr>
        <w:t>原因造成人员伤亡和财产损失的，</w:t>
      </w:r>
      <w:r>
        <w:rPr>
          <w:rFonts w:hint="eastAsia" w:ascii="宋体" w:hAnsi="宋体"/>
          <w:sz w:val="24"/>
          <w:lang w:eastAsia="zh-CN"/>
        </w:rPr>
        <w:t>供应商</w:t>
      </w:r>
      <w:r>
        <w:rPr>
          <w:rFonts w:hint="eastAsia" w:ascii="宋体" w:hAnsi="宋体" w:eastAsia="宋体"/>
          <w:sz w:val="24"/>
        </w:rPr>
        <w:t>应承担全部赔偿责任。</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3</w:t>
      </w:r>
      <w:r>
        <w:rPr>
          <w:rFonts w:hint="default" w:ascii="宋体" w:hAnsi="宋体"/>
          <w:sz w:val="24"/>
        </w:rPr>
        <w:t>.</w:t>
      </w:r>
      <w:r>
        <w:rPr>
          <w:rFonts w:hint="eastAsia" w:ascii="宋体" w:hAnsi="宋体" w:eastAsia="宋体"/>
          <w:sz w:val="24"/>
        </w:rPr>
        <w:t>最终验收：货物经安装调试完成且符合技术要求后，</w:t>
      </w:r>
      <w:r>
        <w:rPr>
          <w:rFonts w:hint="eastAsia" w:ascii="宋体" w:hAnsi="宋体"/>
          <w:sz w:val="24"/>
          <w:lang w:eastAsia="zh-CN"/>
        </w:rPr>
        <w:t>采购方</w:t>
      </w:r>
      <w:r>
        <w:rPr>
          <w:rFonts w:hint="eastAsia" w:ascii="宋体" w:hAnsi="宋体" w:eastAsia="宋体"/>
          <w:sz w:val="24"/>
        </w:rPr>
        <w:t>进行最终验收。验收时</w:t>
      </w:r>
      <w:r>
        <w:rPr>
          <w:rFonts w:hint="eastAsia" w:ascii="宋体" w:hAnsi="宋体"/>
          <w:sz w:val="24"/>
          <w:lang w:eastAsia="zh-CN"/>
        </w:rPr>
        <w:t>供应商</w:t>
      </w:r>
      <w:r>
        <w:rPr>
          <w:rFonts w:hint="eastAsia" w:ascii="宋体" w:hAnsi="宋体" w:eastAsia="宋体"/>
          <w:sz w:val="24"/>
        </w:rPr>
        <w:t>必须在现场货物符合合同约定的技术规范要求和验收标准的，</w:t>
      </w:r>
      <w:r>
        <w:rPr>
          <w:rFonts w:hint="eastAsia" w:ascii="宋体" w:hAnsi="宋体"/>
          <w:sz w:val="24"/>
          <w:lang w:eastAsia="zh-CN"/>
        </w:rPr>
        <w:t>采购方</w:t>
      </w:r>
      <w:r>
        <w:rPr>
          <w:rFonts w:hint="eastAsia" w:ascii="宋体" w:hAnsi="宋体" w:eastAsia="宋体"/>
          <w:sz w:val="24"/>
        </w:rPr>
        <w:t>签署验收合格证明。如货物不符合合同约定的要求的，</w:t>
      </w:r>
      <w:r>
        <w:rPr>
          <w:rFonts w:hint="eastAsia" w:ascii="宋体" w:hAnsi="宋体"/>
          <w:sz w:val="24"/>
          <w:lang w:eastAsia="zh-CN"/>
        </w:rPr>
        <w:t>供应商</w:t>
      </w:r>
      <w:r>
        <w:rPr>
          <w:rFonts w:hint="eastAsia" w:ascii="宋体" w:hAnsi="宋体" w:eastAsia="宋体"/>
          <w:sz w:val="24"/>
        </w:rPr>
        <w:t>应当在7日内采取措施消除缺陷后重新申请终验，并承担由此产生的费用。</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4</w:t>
      </w:r>
      <w:r>
        <w:rPr>
          <w:rFonts w:hint="default" w:ascii="宋体" w:hAnsi="宋体"/>
          <w:sz w:val="24"/>
        </w:rPr>
        <w:t>.</w:t>
      </w:r>
      <w:r>
        <w:rPr>
          <w:rFonts w:hint="eastAsia" w:ascii="宋体" w:hAnsi="宋体" w:eastAsia="宋体"/>
          <w:sz w:val="24"/>
        </w:rPr>
        <w:t>对技术复杂的货物，</w:t>
      </w:r>
      <w:r>
        <w:rPr>
          <w:rFonts w:hint="eastAsia" w:ascii="宋体" w:hAnsi="宋体"/>
          <w:sz w:val="24"/>
          <w:lang w:eastAsia="zh-CN"/>
        </w:rPr>
        <w:t>采购方</w:t>
      </w:r>
      <w:r>
        <w:rPr>
          <w:rFonts w:hint="eastAsia" w:ascii="宋体" w:hAnsi="宋体" w:eastAsia="宋体"/>
          <w:sz w:val="24"/>
        </w:rPr>
        <w:t>可请国家认可的专业检测机构参与验收，并由其出具质量检测报告，检测费用由双方承担。</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5</w:t>
      </w:r>
      <w:r>
        <w:rPr>
          <w:rFonts w:hint="default" w:ascii="宋体" w:hAnsi="宋体"/>
          <w:sz w:val="24"/>
        </w:rPr>
        <w:t>.</w:t>
      </w:r>
      <w:r>
        <w:rPr>
          <w:rFonts w:hint="eastAsia" w:ascii="宋体" w:hAnsi="宋体" w:eastAsia="宋体"/>
          <w:sz w:val="24"/>
        </w:rPr>
        <w:t>货物毁损、灭失的风险，自货物最终验收合格之日起由</w:t>
      </w:r>
      <w:r>
        <w:rPr>
          <w:rFonts w:hint="eastAsia" w:ascii="宋体" w:hAnsi="宋体"/>
          <w:sz w:val="24"/>
          <w:lang w:eastAsia="zh-CN"/>
        </w:rPr>
        <w:t>采购方</w:t>
      </w:r>
      <w:r>
        <w:rPr>
          <w:rFonts w:hint="eastAsia" w:ascii="宋体" w:hAnsi="宋体" w:eastAsia="宋体"/>
          <w:sz w:val="24"/>
        </w:rPr>
        <w:t>承担。</w:t>
      </w:r>
    </w:p>
    <w:p>
      <w:pPr>
        <w:spacing w:line="400" w:lineRule="exact"/>
        <w:ind w:left="1" w:right="-224" w:rightChars="-112" w:firstLine="472" w:firstLineChars="196"/>
        <w:rPr>
          <w:rFonts w:hint="eastAsia" w:ascii="宋体" w:hAnsi="宋体" w:eastAsia="宋体"/>
          <w:b/>
          <w:sz w:val="24"/>
          <w:lang w:eastAsia="zh-CN"/>
        </w:rPr>
      </w:pPr>
      <w:r>
        <w:rPr>
          <w:rFonts w:hint="eastAsia" w:ascii="宋体" w:hAnsi="宋体" w:eastAsia="宋体"/>
          <w:b/>
          <w:sz w:val="24"/>
          <w:lang w:eastAsia="zh-CN"/>
        </w:rPr>
        <w:t>九、保修与售后服务</w:t>
      </w:r>
    </w:p>
    <w:p>
      <w:pPr>
        <w:spacing w:line="400" w:lineRule="exact"/>
        <w:ind w:left="1" w:right="-224" w:rightChars="-112" w:firstLine="480" w:firstLineChars="200"/>
        <w:rPr>
          <w:rFonts w:hint="eastAsia" w:ascii="宋体" w:hAnsi="宋体" w:eastAsia="宋体"/>
          <w:color w:val="auto"/>
          <w:sz w:val="24"/>
          <w:highlight w:val="none"/>
        </w:rPr>
      </w:pPr>
      <w:r>
        <w:rPr>
          <w:rFonts w:hint="eastAsia" w:ascii="宋体" w:hAnsi="宋体" w:eastAsia="宋体"/>
          <w:sz w:val="24"/>
        </w:rPr>
        <w:t>1</w:t>
      </w:r>
      <w:r>
        <w:rPr>
          <w:rFonts w:hint="default" w:ascii="宋体" w:hAnsi="宋体"/>
          <w:sz w:val="24"/>
        </w:rPr>
        <w:t>.</w:t>
      </w:r>
      <w:r>
        <w:rPr>
          <w:rFonts w:hint="eastAsia" w:ascii="宋体" w:hAnsi="宋体" w:eastAsia="宋体"/>
          <w:sz w:val="24"/>
        </w:rPr>
        <w:t>质保期为</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single"/>
        </w:rPr>
        <w:t>2</w:t>
      </w:r>
      <w:r>
        <w:rPr>
          <w:rFonts w:hint="eastAsia" w:ascii="宋体" w:hAnsi="宋体" w:eastAsia="宋体"/>
          <w:color w:val="auto"/>
          <w:sz w:val="24"/>
        </w:rPr>
        <w:t>年，</w:t>
      </w:r>
      <w:r>
        <w:rPr>
          <w:rFonts w:hint="eastAsia" w:ascii="宋体" w:hAnsi="宋体" w:eastAsia="宋体"/>
          <w:color w:val="auto"/>
          <w:sz w:val="24"/>
          <w:highlight w:val="none"/>
        </w:rPr>
        <w:t>自货物</w:t>
      </w:r>
      <w:r>
        <w:rPr>
          <w:rFonts w:hint="default" w:ascii="宋体" w:hAnsi="宋体"/>
          <w:color w:val="auto"/>
          <w:sz w:val="24"/>
          <w:highlight w:val="none"/>
        </w:rPr>
        <w:t>最终验收合格之日</w:t>
      </w:r>
      <w:r>
        <w:rPr>
          <w:rFonts w:hint="eastAsia" w:ascii="宋体" w:hAnsi="宋体" w:eastAsia="宋体"/>
          <w:color w:val="auto"/>
          <w:sz w:val="24"/>
          <w:highlight w:val="none"/>
        </w:rPr>
        <w:t>起至质保期届满且经</w:t>
      </w:r>
      <w:r>
        <w:rPr>
          <w:rFonts w:hint="eastAsia" w:ascii="宋体" w:hAnsi="宋体"/>
          <w:color w:val="auto"/>
          <w:sz w:val="24"/>
          <w:highlight w:val="none"/>
          <w:lang w:eastAsia="zh-CN"/>
        </w:rPr>
        <w:t>采购方</w:t>
      </w:r>
      <w:r>
        <w:rPr>
          <w:rFonts w:hint="eastAsia" w:ascii="宋体" w:hAnsi="宋体" w:eastAsia="宋体"/>
          <w:color w:val="auto"/>
          <w:sz w:val="24"/>
          <w:highlight w:val="none"/>
        </w:rPr>
        <w:t>确认无任何质量问题时止。</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2</w:t>
      </w:r>
      <w:r>
        <w:rPr>
          <w:rFonts w:hint="default" w:ascii="宋体" w:hAnsi="宋体"/>
          <w:sz w:val="24"/>
        </w:rPr>
        <w:t>.</w:t>
      </w:r>
      <w:r>
        <w:rPr>
          <w:rFonts w:hint="eastAsia" w:ascii="宋体" w:hAnsi="宋体" w:eastAsia="宋体"/>
          <w:sz w:val="24"/>
        </w:rPr>
        <w:t>技术支持</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(1)远程技术支持：</w:t>
      </w:r>
      <w:r>
        <w:rPr>
          <w:rFonts w:hint="eastAsia" w:ascii="宋体" w:hAnsi="宋体"/>
          <w:sz w:val="24"/>
          <w:lang w:eastAsia="zh-CN"/>
        </w:rPr>
        <w:t>供应商</w:t>
      </w:r>
      <w:r>
        <w:rPr>
          <w:rFonts w:hint="eastAsia" w:ascii="宋体" w:hAnsi="宋体" w:eastAsia="宋体"/>
          <w:sz w:val="24"/>
        </w:rPr>
        <w:t>应具有稳定的技术支持队伍和完善的服务支持网络，提供7×24小时技术支持服务，及时响应</w:t>
      </w:r>
      <w:r>
        <w:rPr>
          <w:rFonts w:hint="eastAsia" w:ascii="宋体" w:hAnsi="宋体"/>
          <w:sz w:val="24"/>
          <w:lang w:eastAsia="zh-CN"/>
        </w:rPr>
        <w:t>采购方</w:t>
      </w:r>
      <w:r>
        <w:rPr>
          <w:rFonts w:hint="eastAsia" w:ascii="宋体" w:hAnsi="宋体" w:eastAsia="宋体"/>
          <w:sz w:val="24"/>
        </w:rPr>
        <w:t>的技术服务支持需求，提出有效的解决方案，解决</w:t>
      </w:r>
      <w:r>
        <w:rPr>
          <w:rFonts w:hint="eastAsia" w:ascii="宋体" w:hAnsi="宋体"/>
          <w:sz w:val="24"/>
          <w:lang w:eastAsia="zh-CN"/>
        </w:rPr>
        <w:t>采购方</w:t>
      </w:r>
      <w:r>
        <w:rPr>
          <w:rFonts w:hint="eastAsia" w:ascii="宋体" w:hAnsi="宋体" w:eastAsia="宋体"/>
          <w:sz w:val="24"/>
        </w:rPr>
        <w:t>在货物使用过程中遇到的实际问题。</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(2)现场技术支持：对于通过电话、邮件等远程技术支持不能解决的问题，</w:t>
      </w:r>
      <w:r>
        <w:rPr>
          <w:rFonts w:hint="eastAsia" w:ascii="宋体" w:hAnsi="宋体"/>
          <w:sz w:val="24"/>
          <w:lang w:eastAsia="zh-CN"/>
        </w:rPr>
        <w:t>供应商</w:t>
      </w:r>
      <w:r>
        <w:rPr>
          <w:rFonts w:hint="eastAsia" w:ascii="宋体" w:hAnsi="宋体" w:eastAsia="宋体"/>
          <w:sz w:val="24"/>
        </w:rPr>
        <w:t>应在3小时内派遣相关人员赶赴现场，3小时内维修完毕：发生紧急抢修事故的，</w:t>
      </w:r>
      <w:r>
        <w:rPr>
          <w:rFonts w:hint="eastAsia" w:ascii="宋体" w:hAnsi="宋体"/>
          <w:sz w:val="24"/>
          <w:lang w:eastAsia="zh-CN"/>
        </w:rPr>
        <w:t>供应商</w:t>
      </w:r>
      <w:r>
        <w:rPr>
          <w:rFonts w:hint="eastAsia" w:ascii="宋体" w:hAnsi="宋体" w:eastAsia="宋体"/>
          <w:sz w:val="24"/>
        </w:rPr>
        <w:t>应在接到</w:t>
      </w:r>
      <w:r>
        <w:rPr>
          <w:rFonts w:hint="eastAsia" w:ascii="宋体" w:hAnsi="宋体"/>
          <w:sz w:val="24"/>
          <w:lang w:eastAsia="zh-CN"/>
        </w:rPr>
        <w:t>采购方</w:t>
      </w:r>
      <w:r>
        <w:rPr>
          <w:rFonts w:hint="eastAsia" w:ascii="宋体" w:hAnsi="宋体" w:eastAsia="宋体"/>
          <w:sz w:val="24"/>
        </w:rPr>
        <w:t>通知后2小时内到达现场抢修，</w:t>
      </w:r>
      <w:r>
        <w:rPr>
          <w:rFonts w:hint="eastAsia" w:ascii="宋体" w:hAnsi="宋体"/>
          <w:sz w:val="24"/>
          <w:lang w:val="en-US" w:eastAsia="zh-CN"/>
        </w:rPr>
        <w:t>2</w:t>
      </w:r>
      <w:r>
        <w:rPr>
          <w:rFonts w:hint="eastAsia" w:ascii="宋体" w:hAnsi="宋体" w:eastAsia="宋体"/>
          <w:sz w:val="24"/>
        </w:rPr>
        <w:t>小时之内排除故障。</w:t>
      </w:r>
      <w:r>
        <w:rPr>
          <w:rFonts w:hint="eastAsia" w:ascii="宋体" w:hAnsi="宋体"/>
          <w:sz w:val="24"/>
          <w:lang w:eastAsia="zh-CN"/>
        </w:rPr>
        <w:t>供应商</w:t>
      </w:r>
      <w:r>
        <w:rPr>
          <w:rFonts w:hint="eastAsia" w:ascii="宋体" w:hAnsi="宋体" w:eastAsia="宋体"/>
          <w:sz w:val="24"/>
        </w:rPr>
        <w:t>未在约定时间内修复的或同一货物经2次维修后仍不能稳定、可靠运行的，</w:t>
      </w:r>
      <w:r>
        <w:rPr>
          <w:rFonts w:hint="eastAsia" w:ascii="宋体" w:hAnsi="宋体"/>
          <w:sz w:val="24"/>
          <w:lang w:eastAsia="zh-CN"/>
        </w:rPr>
        <w:t>采购方</w:t>
      </w:r>
      <w:r>
        <w:rPr>
          <w:rFonts w:hint="eastAsia" w:ascii="宋体" w:hAnsi="宋体" w:eastAsia="宋体"/>
          <w:sz w:val="24"/>
        </w:rPr>
        <w:t>有权要求</w:t>
      </w:r>
      <w:r>
        <w:rPr>
          <w:rFonts w:hint="eastAsia" w:ascii="宋体" w:hAnsi="宋体"/>
          <w:sz w:val="24"/>
          <w:lang w:eastAsia="zh-CN"/>
        </w:rPr>
        <w:t>供应商</w:t>
      </w:r>
      <w:r>
        <w:rPr>
          <w:rFonts w:hint="eastAsia" w:ascii="宋体" w:hAnsi="宋体" w:eastAsia="宋体"/>
          <w:sz w:val="24"/>
        </w:rPr>
        <w:t>免费更换。返修或更换后的部件</w:t>
      </w:r>
      <w:r>
        <w:rPr>
          <w:rFonts w:hint="default" w:ascii="宋体" w:hAnsi="宋体"/>
          <w:sz w:val="24"/>
        </w:rPr>
        <w:t>质保期</w:t>
      </w:r>
      <w:r>
        <w:rPr>
          <w:rFonts w:hint="eastAsia" w:ascii="宋体" w:hAnsi="宋体" w:eastAsia="宋体"/>
          <w:sz w:val="24"/>
        </w:rPr>
        <w:t>应重新计算。</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(3)技术升级支持：</w:t>
      </w:r>
      <w:r>
        <w:rPr>
          <w:rFonts w:hint="eastAsia" w:ascii="宋体" w:hAnsi="宋体"/>
          <w:sz w:val="24"/>
          <w:lang w:eastAsia="zh-CN"/>
        </w:rPr>
        <w:t>供应商</w:t>
      </w:r>
      <w:r>
        <w:rPr>
          <w:rFonts w:hint="eastAsia" w:ascii="宋体" w:hAnsi="宋体" w:eastAsia="宋体"/>
          <w:sz w:val="24"/>
        </w:rPr>
        <w:t>应提供货物所配置软件的终身免费维护和升级服务，保证货物正常运行，且不影响</w:t>
      </w:r>
      <w:r>
        <w:rPr>
          <w:rFonts w:hint="eastAsia" w:ascii="宋体" w:hAnsi="宋体"/>
          <w:sz w:val="24"/>
          <w:lang w:eastAsia="zh-CN"/>
        </w:rPr>
        <w:t>采购方</w:t>
      </w:r>
      <w:r>
        <w:rPr>
          <w:rFonts w:hint="eastAsia" w:ascii="宋体" w:hAnsi="宋体" w:eastAsia="宋体"/>
          <w:sz w:val="24"/>
        </w:rPr>
        <w:t>其它运行环境。</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3</w:t>
      </w:r>
      <w:r>
        <w:rPr>
          <w:rFonts w:hint="default" w:ascii="宋体" w:hAnsi="宋体"/>
          <w:sz w:val="24"/>
        </w:rPr>
        <w:t>.</w:t>
      </w:r>
      <w:r>
        <w:rPr>
          <w:rFonts w:hint="eastAsia" w:ascii="宋体" w:hAnsi="宋体" w:eastAsia="宋体"/>
          <w:sz w:val="24"/>
        </w:rPr>
        <w:t>在质保期内，</w:t>
      </w:r>
      <w:r>
        <w:rPr>
          <w:rFonts w:hint="eastAsia" w:ascii="宋体" w:hAnsi="宋体"/>
          <w:sz w:val="24"/>
          <w:lang w:eastAsia="zh-CN"/>
        </w:rPr>
        <w:t>供应商</w:t>
      </w:r>
      <w:r>
        <w:rPr>
          <w:rFonts w:hint="eastAsia" w:ascii="宋体" w:hAnsi="宋体" w:eastAsia="宋体"/>
          <w:sz w:val="24"/>
        </w:rPr>
        <w:t>应对货物出现的质量及安全问题</w:t>
      </w:r>
      <w:r>
        <w:rPr>
          <w:rFonts w:hint="eastAsia" w:ascii="宋体" w:hAnsi="宋体"/>
          <w:sz w:val="24"/>
          <w:lang w:eastAsia="zh-CN"/>
        </w:rPr>
        <w:t>负责</w:t>
      </w:r>
      <w:bookmarkStart w:id="116" w:name="_GoBack"/>
      <w:bookmarkEnd w:id="116"/>
      <w:r>
        <w:rPr>
          <w:rFonts w:hint="eastAsia" w:ascii="宋体" w:hAnsi="宋体" w:eastAsia="宋体"/>
          <w:sz w:val="24"/>
        </w:rPr>
        <w:t>处理解决并承担一切费用。</w:t>
      </w:r>
    </w:p>
    <w:p>
      <w:pPr>
        <w:spacing w:line="400" w:lineRule="exact"/>
        <w:ind w:left="1" w:right="-224" w:rightChars="-112" w:firstLine="482" w:firstLineChars="200"/>
        <w:rPr>
          <w:rFonts w:ascii="宋体" w:hAnsi="宋体"/>
          <w:b/>
          <w:sz w:val="24"/>
        </w:rPr>
      </w:pPr>
      <w:r>
        <w:rPr>
          <w:rFonts w:hint="eastAsia" w:ascii="宋体" w:hAnsi="宋体"/>
          <w:b/>
          <w:sz w:val="24"/>
          <w:lang w:eastAsia="zh-CN"/>
        </w:rPr>
        <w:t>十</w:t>
      </w:r>
      <w:r>
        <w:rPr>
          <w:rFonts w:hint="eastAsia" w:ascii="宋体" w:hAnsi="宋体"/>
          <w:b/>
          <w:sz w:val="24"/>
        </w:rPr>
        <w:t>、合同修改</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买卖双方的任何一方对合同内容提出修改，均应以书面形式通知对方，并达成由双方签署的</w:t>
      </w:r>
      <w:r>
        <w:rPr>
          <w:rFonts w:hint="default" w:ascii="宋体" w:hAnsi="宋体"/>
          <w:sz w:val="24"/>
        </w:rPr>
        <w:t>补充协议</w:t>
      </w:r>
      <w:r>
        <w:rPr>
          <w:rFonts w:hint="eastAsia" w:ascii="宋体" w:hAnsi="宋体"/>
          <w:sz w:val="24"/>
        </w:rPr>
        <w:t>。</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除非</w:t>
      </w:r>
      <w:r>
        <w:rPr>
          <w:rFonts w:hint="eastAsia" w:ascii="宋体" w:hAnsi="宋体"/>
          <w:sz w:val="24"/>
          <w:lang w:eastAsia="zh-CN"/>
        </w:rPr>
        <w:t>采购方</w:t>
      </w:r>
      <w:r>
        <w:rPr>
          <w:rFonts w:hint="eastAsia" w:ascii="宋体" w:hAnsi="宋体"/>
          <w:sz w:val="24"/>
        </w:rPr>
        <w:t>对设备的型号、规格和涉及价格因素的技术参数和配套件提出修改，</w:t>
      </w:r>
      <w:r>
        <w:rPr>
          <w:rFonts w:hint="eastAsia" w:ascii="宋体" w:hAnsi="宋体"/>
          <w:sz w:val="24"/>
          <w:lang w:eastAsia="zh-CN"/>
        </w:rPr>
        <w:t>供应商</w:t>
      </w:r>
      <w:r>
        <w:rPr>
          <w:rFonts w:hint="eastAsia" w:ascii="宋体" w:hAnsi="宋体"/>
          <w:sz w:val="24"/>
        </w:rPr>
        <w:t>不得对合同价格提出修改要求。</w:t>
      </w:r>
    </w:p>
    <w:p>
      <w:pPr>
        <w:spacing w:line="400" w:lineRule="exact"/>
        <w:ind w:left="1" w:right="-224" w:rightChars="-112"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业主因设计施工变更设备的型号、规格和数量，</w:t>
      </w:r>
      <w:r>
        <w:rPr>
          <w:rFonts w:hint="eastAsia" w:ascii="宋体" w:hAnsi="宋体"/>
          <w:sz w:val="24"/>
          <w:lang w:eastAsia="zh-CN"/>
        </w:rPr>
        <w:t>供应商</w:t>
      </w:r>
      <w:r>
        <w:rPr>
          <w:rFonts w:hint="eastAsia" w:ascii="宋体" w:hAnsi="宋体"/>
          <w:sz w:val="24"/>
        </w:rPr>
        <w:t>应承诺多退少补，并及时供货保证施工进度需要。</w:t>
      </w:r>
    </w:p>
    <w:p>
      <w:pPr>
        <w:spacing w:line="400" w:lineRule="exact"/>
        <w:ind w:left="1" w:right="-224" w:rightChars="-112" w:firstLine="472" w:firstLineChars="196"/>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、违约责任</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设备质量责任</w:t>
      </w:r>
    </w:p>
    <w:p>
      <w:pPr>
        <w:spacing w:line="400" w:lineRule="exact"/>
        <w:ind w:left="1" w:right="-224" w:rightChars="-112" w:firstLine="480" w:firstLineChars="200"/>
        <w:rPr>
          <w:rFonts w:ascii="宋体" w:hAnsi="宋体"/>
          <w:sz w:val="24"/>
        </w:rPr>
      </w:pPr>
      <w:r>
        <w:rPr>
          <w:rFonts w:hint="eastAsia" w:ascii="宋体" w:hAnsi="宋体"/>
          <w:sz w:val="24"/>
        </w:rPr>
        <w:t>1）在设备质量保证期内，凡设备在开箱检验、安装调试、设备试运转过程中发现的设备质量问题，由</w:t>
      </w:r>
      <w:r>
        <w:rPr>
          <w:rFonts w:hint="eastAsia" w:ascii="宋体" w:hAnsi="宋体"/>
          <w:sz w:val="24"/>
          <w:lang w:eastAsia="zh-CN"/>
        </w:rPr>
        <w:t>供应商</w:t>
      </w:r>
      <w:r>
        <w:rPr>
          <w:rFonts w:hint="eastAsia" w:ascii="宋体" w:hAnsi="宋体"/>
          <w:sz w:val="24"/>
        </w:rPr>
        <w:t>负责处理，实行包修、包换、包退，直至设备符合质量要求，</w:t>
      </w:r>
      <w:r>
        <w:rPr>
          <w:rFonts w:hint="eastAsia" w:ascii="宋体" w:hAnsi="宋体"/>
          <w:sz w:val="24"/>
          <w:lang w:eastAsia="zh-CN"/>
        </w:rPr>
        <w:t>供应商</w:t>
      </w:r>
      <w:r>
        <w:rPr>
          <w:rFonts w:hint="eastAsia" w:ascii="宋体" w:hAnsi="宋体"/>
          <w:sz w:val="24"/>
        </w:rPr>
        <w:t>同时承担修理、调换、退货发生的一切费用及其他由此引起的经济损失。</w:t>
      </w:r>
    </w:p>
    <w:p>
      <w:pPr>
        <w:spacing w:line="400" w:lineRule="exact"/>
        <w:ind w:left="1" w:right="-224" w:rightChars="-112" w:firstLine="480" w:firstLineChars="200"/>
        <w:rPr>
          <w:rFonts w:ascii="宋体" w:hAnsi="宋体"/>
          <w:sz w:val="24"/>
        </w:rPr>
      </w:pPr>
      <w:r>
        <w:rPr>
          <w:rFonts w:hint="eastAsia" w:ascii="宋体" w:hAnsi="宋体"/>
          <w:sz w:val="24"/>
        </w:rPr>
        <w:t>2)由于</w:t>
      </w:r>
      <w:r>
        <w:rPr>
          <w:rFonts w:hint="eastAsia" w:ascii="宋体" w:hAnsi="宋体"/>
          <w:sz w:val="24"/>
          <w:lang w:eastAsia="zh-CN"/>
        </w:rPr>
        <w:t>采购方</w:t>
      </w:r>
      <w:r>
        <w:rPr>
          <w:rFonts w:hint="eastAsia" w:ascii="宋体" w:hAnsi="宋体"/>
          <w:sz w:val="24"/>
        </w:rPr>
        <w:t>保管不善或使用不当造成设备短缺、故障或损坏，由</w:t>
      </w:r>
      <w:r>
        <w:rPr>
          <w:rFonts w:hint="eastAsia" w:ascii="宋体" w:hAnsi="宋体"/>
          <w:sz w:val="24"/>
          <w:lang w:eastAsia="zh-CN"/>
        </w:rPr>
        <w:t>采购方</w:t>
      </w:r>
      <w:r>
        <w:rPr>
          <w:rFonts w:hint="eastAsia" w:ascii="宋体" w:hAnsi="宋体"/>
          <w:sz w:val="24"/>
        </w:rPr>
        <w:t>负责，但</w:t>
      </w:r>
      <w:r>
        <w:rPr>
          <w:rFonts w:hint="eastAsia" w:ascii="宋体" w:hAnsi="宋体"/>
          <w:sz w:val="24"/>
          <w:lang w:eastAsia="zh-CN"/>
        </w:rPr>
        <w:t>供应商</w:t>
      </w:r>
      <w:r>
        <w:rPr>
          <w:rFonts w:hint="eastAsia" w:ascii="宋体" w:hAnsi="宋体"/>
          <w:sz w:val="24"/>
        </w:rPr>
        <w:t>保证及时给予补齐或修复。</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违约赔偿</w:t>
      </w:r>
    </w:p>
    <w:p>
      <w:pPr>
        <w:spacing w:line="360" w:lineRule="auto"/>
        <w:ind w:firstLine="480" w:firstLineChars="200"/>
        <w:jc w:val="left"/>
        <w:rPr>
          <w:rFonts w:ascii="宋体"/>
          <w:sz w:val="24"/>
        </w:rPr>
      </w:pPr>
      <w:r>
        <w:rPr>
          <w:rFonts w:hint="eastAsia" w:ascii="宋体" w:hAnsi="宋体"/>
          <w:sz w:val="24"/>
        </w:rPr>
        <w:t>1）因产品的材质或厂方其他原因（如指导不到位等），造成无法通过第三方机构检定的，可退货，返还支付款；</w:t>
      </w:r>
    </w:p>
    <w:p>
      <w:pPr>
        <w:widowControl/>
        <w:spacing w:line="365" w:lineRule="atLeast"/>
        <w:ind w:left="1" w:firstLine="560"/>
        <w:jc w:val="left"/>
        <w:textAlignment w:val="bottom"/>
        <w:rPr>
          <w:rFonts w:ascii="宋体" w:hAnsi="宋体"/>
          <w:sz w:val="24"/>
        </w:rPr>
      </w:pPr>
      <w:r>
        <w:rPr>
          <w:rFonts w:hint="eastAsia" w:ascii="宋体" w:hAnsi="宋体"/>
          <w:sz w:val="24"/>
        </w:rPr>
        <w:t>2）因产品质量造成使用方经济损失的，承担赔偿责任</w:t>
      </w:r>
      <w:r>
        <w:rPr>
          <w:rFonts w:hint="default" w:ascii="宋体" w:hAnsi="宋体"/>
          <w:sz w:val="24"/>
        </w:rPr>
        <w:t>。</w:t>
      </w:r>
    </w:p>
    <w:p>
      <w:pPr>
        <w:spacing w:line="400" w:lineRule="exact"/>
        <w:ind w:right="-224" w:rightChars="-112" w:firstLine="472" w:firstLineChars="196"/>
        <w:rPr>
          <w:rFonts w:ascii="宋体" w:hAnsi="宋体"/>
          <w:b/>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、违约终止合同</w:t>
      </w:r>
    </w:p>
    <w:p>
      <w:pPr>
        <w:spacing w:line="400" w:lineRule="exact"/>
        <w:ind w:left="1" w:right="-224" w:rightChars="-112" w:firstLine="600" w:firstLineChars="25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lang w:eastAsia="zh-CN"/>
        </w:rPr>
        <w:t>采购方</w:t>
      </w:r>
      <w:r>
        <w:rPr>
          <w:rFonts w:hint="eastAsia" w:ascii="宋体" w:hAnsi="宋体"/>
          <w:sz w:val="24"/>
        </w:rPr>
        <w:t>在</w:t>
      </w:r>
      <w:r>
        <w:rPr>
          <w:rFonts w:hint="eastAsia" w:ascii="宋体" w:hAnsi="宋体"/>
          <w:sz w:val="24"/>
          <w:lang w:eastAsia="zh-CN"/>
        </w:rPr>
        <w:t>供应商</w:t>
      </w:r>
      <w:r>
        <w:rPr>
          <w:rFonts w:hint="eastAsia" w:ascii="宋体" w:hAnsi="宋体"/>
          <w:sz w:val="24"/>
        </w:rPr>
        <w:t>存在如下违约情况时，有权考虑并提出终止全部或部分合同。</w:t>
      </w:r>
    </w:p>
    <w:p>
      <w:pPr>
        <w:spacing w:line="400" w:lineRule="exact"/>
        <w:ind w:right="-224" w:rightChars="-112" w:firstLine="480" w:firstLineChars="200"/>
        <w:rPr>
          <w:rFonts w:ascii="宋体" w:hAnsi="宋体"/>
          <w:sz w:val="24"/>
        </w:rPr>
      </w:pPr>
      <w:r>
        <w:rPr>
          <w:rFonts w:hint="eastAsia" w:ascii="宋体" w:hAnsi="宋体"/>
          <w:sz w:val="24"/>
        </w:rPr>
        <w:t>1)</w:t>
      </w:r>
      <w:r>
        <w:rPr>
          <w:rFonts w:hint="eastAsia" w:ascii="宋体" w:hAnsi="宋体"/>
          <w:sz w:val="24"/>
          <w:lang w:eastAsia="zh-CN"/>
        </w:rPr>
        <w:t>供应商</w:t>
      </w:r>
      <w:r>
        <w:rPr>
          <w:rFonts w:hint="eastAsia" w:ascii="宋体" w:hAnsi="宋体"/>
          <w:sz w:val="24"/>
        </w:rPr>
        <w:t>未能在合同规定期限或</w:t>
      </w:r>
      <w:r>
        <w:rPr>
          <w:rFonts w:hint="eastAsia" w:ascii="宋体" w:hAnsi="宋体"/>
          <w:sz w:val="24"/>
          <w:lang w:eastAsia="zh-CN"/>
        </w:rPr>
        <w:t>采购方</w:t>
      </w:r>
      <w:r>
        <w:rPr>
          <w:rFonts w:hint="eastAsia" w:ascii="宋体" w:hAnsi="宋体"/>
          <w:sz w:val="24"/>
        </w:rPr>
        <w:t>同意延长的期限内交付全部或部分设备。</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eastAsia" w:ascii="宋体" w:hAnsi="宋体"/>
          <w:sz w:val="24"/>
          <w:lang w:eastAsia="zh-CN"/>
        </w:rPr>
        <w:t>供应商</w:t>
      </w:r>
      <w:r>
        <w:rPr>
          <w:rFonts w:hint="eastAsia" w:ascii="宋体" w:hAnsi="宋体"/>
          <w:sz w:val="24"/>
        </w:rPr>
        <w:t>未能履行合同规定的其他义务。</w:t>
      </w:r>
    </w:p>
    <w:p>
      <w:pPr>
        <w:spacing w:line="400" w:lineRule="exact"/>
        <w:ind w:left="1" w:right="-224" w:rightChars="-112" w:firstLine="480" w:firstLineChars="200"/>
        <w:rPr>
          <w:rFonts w:ascii="宋体" w:hAnsi="宋体"/>
          <w:sz w:val="24"/>
        </w:rPr>
      </w:pPr>
      <w:r>
        <w:rPr>
          <w:rFonts w:hint="eastAsia" w:ascii="宋体" w:hAnsi="宋体"/>
          <w:sz w:val="24"/>
        </w:rPr>
        <w:t>3)在发生上述情况后，</w:t>
      </w:r>
      <w:r>
        <w:rPr>
          <w:rFonts w:hint="eastAsia" w:ascii="宋体" w:hAnsi="宋体"/>
          <w:sz w:val="24"/>
          <w:lang w:eastAsia="zh-CN"/>
        </w:rPr>
        <w:t>供应商</w:t>
      </w:r>
      <w:r>
        <w:rPr>
          <w:rFonts w:hint="eastAsia" w:ascii="宋体" w:hAnsi="宋体"/>
          <w:sz w:val="24"/>
        </w:rPr>
        <w:t>收到</w:t>
      </w:r>
      <w:r>
        <w:rPr>
          <w:rFonts w:hint="eastAsia" w:ascii="宋体" w:hAnsi="宋体"/>
          <w:sz w:val="24"/>
          <w:lang w:eastAsia="zh-CN"/>
        </w:rPr>
        <w:t>采购方</w:t>
      </w:r>
      <w:r>
        <w:rPr>
          <w:rFonts w:hint="eastAsia" w:ascii="宋体" w:hAnsi="宋体"/>
          <w:sz w:val="24"/>
        </w:rPr>
        <w:t>的违约通知后30天内未能纠正其过失。</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eastAsia" w:ascii="宋体" w:hAnsi="宋体"/>
          <w:sz w:val="24"/>
          <w:lang w:eastAsia="zh-CN"/>
        </w:rPr>
        <w:t>供应商</w:t>
      </w:r>
      <w:r>
        <w:rPr>
          <w:rFonts w:hint="eastAsia" w:ascii="宋体" w:hAnsi="宋体"/>
          <w:sz w:val="24"/>
        </w:rPr>
        <w:t>应继续执行合同中未中止部分。</w:t>
      </w:r>
    </w:p>
    <w:p>
      <w:pPr>
        <w:spacing w:line="400" w:lineRule="exact"/>
        <w:ind w:left="1" w:right="-224" w:rightChars="-112" w:firstLine="480" w:firstLineChars="200"/>
        <w:rPr>
          <w:rFonts w:ascii="宋体" w:hAnsi="宋体"/>
          <w:sz w:val="24"/>
        </w:rPr>
      </w:pPr>
      <w:r>
        <w:rPr>
          <w:rFonts w:hint="eastAsia" w:ascii="宋体" w:hAnsi="宋体"/>
          <w:sz w:val="24"/>
        </w:rPr>
        <w:t>3、在</w:t>
      </w:r>
      <w:r>
        <w:rPr>
          <w:rFonts w:hint="eastAsia" w:ascii="宋体" w:hAnsi="宋体"/>
          <w:sz w:val="24"/>
          <w:lang w:eastAsia="zh-CN"/>
        </w:rPr>
        <w:t>采购方</w:t>
      </w:r>
      <w:r>
        <w:rPr>
          <w:rFonts w:hint="eastAsia" w:ascii="宋体" w:hAnsi="宋体"/>
          <w:sz w:val="24"/>
        </w:rPr>
        <w:t>提出终止部分合同的情况下，并不解除</w:t>
      </w:r>
      <w:r>
        <w:rPr>
          <w:rFonts w:hint="eastAsia" w:ascii="宋体" w:hAnsi="宋体"/>
          <w:sz w:val="24"/>
          <w:lang w:eastAsia="zh-CN"/>
        </w:rPr>
        <w:t>供应商</w:t>
      </w:r>
      <w:r>
        <w:rPr>
          <w:rFonts w:hint="eastAsia" w:ascii="宋体" w:hAnsi="宋体"/>
          <w:sz w:val="24"/>
        </w:rPr>
        <w:t>对已交货部分设备应负的设备质量责任。</w:t>
      </w:r>
    </w:p>
    <w:p>
      <w:pPr>
        <w:spacing w:line="400" w:lineRule="exact"/>
        <w:ind w:left="1" w:right="-224" w:rightChars="-112" w:firstLine="472" w:firstLineChars="196"/>
        <w:rPr>
          <w:rFonts w:ascii="宋体" w:hAnsi="宋体"/>
          <w:b/>
          <w:sz w:val="24"/>
        </w:rPr>
      </w:pPr>
      <w:r>
        <w:rPr>
          <w:rFonts w:hint="eastAsia" w:ascii="宋体" w:hAnsi="宋体"/>
          <w:b/>
          <w:sz w:val="24"/>
        </w:rPr>
        <w:t>十</w:t>
      </w:r>
      <w:r>
        <w:rPr>
          <w:rFonts w:hint="eastAsia" w:ascii="宋体" w:hAnsi="宋体"/>
          <w:b/>
          <w:sz w:val="24"/>
          <w:lang w:eastAsia="zh-CN"/>
        </w:rPr>
        <w:t>三</w:t>
      </w:r>
      <w:r>
        <w:rPr>
          <w:rFonts w:hint="eastAsia" w:ascii="宋体" w:hAnsi="宋体"/>
          <w:b/>
          <w:sz w:val="24"/>
        </w:rPr>
        <w:t>、安全责任</w:t>
      </w:r>
    </w:p>
    <w:p>
      <w:pPr>
        <w:spacing w:line="400" w:lineRule="exact"/>
        <w:ind w:left="1" w:right="-224" w:rightChars="-112" w:firstLine="480" w:firstLineChars="200"/>
        <w:rPr>
          <w:rFonts w:ascii="宋体" w:hAnsi="宋体"/>
          <w:sz w:val="24"/>
        </w:rPr>
      </w:pPr>
      <w:r>
        <w:rPr>
          <w:rFonts w:hint="eastAsia" w:ascii="宋体" w:hAnsi="宋体"/>
          <w:sz w:val="24"/>
          <w:lang w:eastAsia="zh-CN"/>
        </w:rPr>
        <w:t>供应商</w:t>
      </w:r>
      <w:r>
        <w:rPr>
          <w:rFonts w:hint="eastAsia" w:ascii="宋体" w:hAnsi="宋体"/>
          <w:sz w:val="24"/>
        </w:rPr>
        <w:t>承担设备到货、调试及质保期内维修服务的所有安全责任。</w:t>
      </w:r>
    </w:p>
    <w:p>
      <w:pPr>
        <w:spacing w:line="400" w:lineRule="exact"/>
        <w:ind w:left="1" w:right="-224" w:rightChars="-112" w:firstLine="472" w:firstLineChars="196"/>
        <w:rPr>
          <w:rFonts w:ascii="宋体" w:hAnsi="宋体"/>
          <w:b/>
          <w:sz w:val="24"/>
        </w:rPr>
      </w:pPr>
      <w:r>
        <w:rPr>
          <w:rFonts w:hint="eastAsia" w:ascii="宋体" w:hAnsi="宋体"/>
          <w:b/>
          <w:sz w:val="24"/>
        </w:rPr>
        <w:t>十四、合同纠纷解决方式</w:t>
      </w:r>
      <w:r>
        <w:rPr>
          <w:rFonts w:ascii="宋体" w:hAnsi="宋体"/>
          <w:b/>
          <w:sz w:val="24"/>
        </w:rPr>
        <w:t xml:space="preserve">  </w:t>
      </w:r>
    </w:p>
    <w:p>
      <w:pPr>
        <w:spacing w:line="400" w:lineRule="exact"/>
        <w:ind w:left="1" w:right="-224" w:rightChars="-112" w:firstLine="480" w:firstLineChars="200"/>
        <w:rPr>
          <w:rFonts w:ascii="宋体" w:hAnsi="宋体"/>
          <w:sz w:val="24"/>
        </w:rPr>
      </w:pPr>
      <w:r>
        <w:rPr>
          <w:rFonts w:hint="eastAsia" w:ascii="宋体" w:hAnsi="宋体"/>
          <w:sz w:val="24"/>
        </w:rPr>
        <w:t>凡有关本合同或执行本合同中发生的争端，买卖双方应通过友好协商，妥善解决。</w:t>
      </w:r>
      <w:r>
        <w:rPr>
          <w:rFonts w:hint="eastAsia" w:ascii="宋体" w:cs="宋体"/>
          <w:sz w:val="24"/>
          <w:lang w:val="zh-CN"/>
        </w:rPr>
        <w:t>如协商不成的，</w:t>
      </w:r>
      <w:r>
        <w:rPr>
          <w:rFonts w:hint="default" w:ascii="宋体" w:cs="宋体"/>
          <w:sz w:val="24"/>
        </w:rPr>
        <w:t>可向</w:t>
      </w:r>
      <w:r>
        <w:rPr>
          <w:rFonts w:hint="eastAsia" w:ascii="宋体" w:cs="宋体"/>
          <w:sz w:val="24"/>
          <w:lang w:val="zh-CN"/>
        </w:rPr>
        <w:t>采购方住所地法院</w:t>
      </w:r>
      <w:r>
        <w:rPr>
          <w:rFonts w:hint="default" w:ascii="宋体" w:cs="宋体"/>
          <w:sz w:val="24"/>
        </w:rPr>
        <w:t>起诉</w:t>
      </w:r>
      <w:r>
        <w:rPr>
          <w:rFonts w:hint="eastAsia" w:ascii="宋体" w:cs="宋体"/>
          <w:sz w:val="24"/>
          <w:lang w:val="zh-CN"/>
        </w:rPr>
        <w:t>。</w:t>
      </w:r>
    </w:p>
    <w:p>
      <w:pPr>
        <w:spacing w:line="400" w:lineRule="exact"/>
        <w:ind w:left="1" w:right="-224" w:rightChars="-112" w:firstLine="472" w:firstLineChars="196"/>
        <w:rPr>
          <w:rFonts w:ascii="宋体" w:hAnsi="宋体"/>
          <w:b/>
          <w:sz w:val="24"/>
        </w:rPr>
      </w:pPr>
      <w:r>
        <w:rPr>
          <w:rFonts w:hint="eastAsia" w:ascii="宋体" w:hAnsi="宋体"/>
          <w:b/>
          <w:sz w:val="24"/>
        </w:rPr>
        <w:t>十五、适用法律</w:t>
      </w:r>
    </w:p>
    <w:p>
      <w:pPr>
        <w:spacing w:line="400" w:lineRule="exact"/>
        <w:ind w:left="1" w:right="-224" w:rightChars="-112" w:firstLine="480" w:firstLineChars="200"/>
        <w:rPr>
          <w:rFonts w:ascii="宋体" w:hAnsi="宋体"/>
          <w:sz w:val="24"/>
        </w:rPr>
      </w:pPr>
      <w:r>
        <w:rPr>
          <w:rFonts w:hint="eastAsia" w:ascii="宋体" w:hAnsi="宋体"/>
          <w:sz w:val="24"/>
        </w:rPr>
        <w:t>按照中华人民共和国的生效法律、法规和浙江省政府所规定的条例进行解释。</w:t>
      </w:r>
    </w:p>
    <w:p>
      <w:pPr>
        <w:spacing w:line="400" w:lineRule="exact"/>
        <w:ind w:left="1" w:right="-224" w:rightChars="-112" w:firstLine="472" w:firstLineChars="196"/>
        <w:rPr>
          <w:rFonts w:ascii="宋体" w:hAnsi="宋体"/>
          <w:b/>
          <w:sz w:val="24"/>
        </w:rPr>
      </w:pPr>
      <w:r>
        <w:rPr>
          <w:rFonts w:hint="eastAsia" w:ascii="宋体" w:hAnsi="宋体"/>
          <w:b/>
          <w:sz w:val="24"/>
        </w:rPr>
        <w:t>十六、合同有效期及其他</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合同应在双方法人代表或</w:t>
      </w:r>
      <w:r>
        <w:rPr>
          <w:rFonts w:hint="default" w:ascii="宋体" w:hAnsi="宋体"/>
          <w:sz w:val="24"/>
        </w:rPr>
        <w:t>委托代理</w:t>
      </w:r>
      <w:r>
        <w:rPr>
          <w:rFonts w:hint="eastAsia" w:ascii="宋体" w:hAnsi="宋体"/>
          <w:sz w:val="24"/>
        </w:rPr>
        <w:t>人签字并加盖单位公章或合同章后生效至质保期满之日起终止。招标文件、投标文件、补充文件、招标答疑纪要及设计联络会会议纪要等作为本合同的附件，与本合同具有同等法律效力；解释顺序为合同（补充</w:t>
      </w:r>
      <w:r>
        <w:rPr>
          <w:rFonts w:hint="default" w:ascii="宋体" w:hAnsi="宋体"/>
          <w:sz w:val="24"/>
        </w:rPr>
        <w:t>协议</w:t>
      </w:r>
      <w:r>
        <w:rPr>
          <w:rFonts w:hint="eastAsia" w:ascii="宋体" w:hAnsi="宋体"/>
          <w:sz w:val="24"/>
        </w:rPr>
        <w:t>）、设计联络会会议纪要、询标承诺、招标文件（招标答疑纪要）、投标文件等。</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本合同一式伍份，</w:t>
      </w:r>
      <w:r>
        <w:rPr>
          <w:rFonts w:hint="eastAsia" w:ascii="宋体" w:hAnsi="宋体"/>
          <w:sz w:val="24"/>
          <w:lang w:eastAsia="zh-CN"/>
        </w:rPr>
        <w:t>采购方</w:t>
      </w:r>
      <w:r>
        <w:rPr>
          <w:rFonts w:hint="eastAsia" w:ascii="宋体" w:hAnsi="宋体"/>
          <w:sz w:val="24"/>
        </w:rPr>
        <w:t>执叁份，</w:t>
      </w:r>
      <w:r>
        <w:rPr>
          <w:rFonts w:hint="eastAsia" w:ascii="宋体" w:hAnsi="宋体"/>
          <w:sz w:val="24"/>
          <w:lang w:eastAsia="zh-CN"/>
        </w:rPr>
        <w:t>供应商</w:t>
      </w:r>
      <w:r>
        <w:rPr>
          <w:rFonts w:hint="eastAsia" w:ascii="宋体" w:hAnsi="宋体"/>
          <w:sz w:val="24"/>
        </w:rPr>
        <w:t>执二份。</w:t>
      </w:r>
    </w:p>
    <w:p>
      <w:pPr>
        <w:spacing w:line="400" w:lineRule="exact"/>
        <w:ind w:left="1" w:right="-224" w:rightChars="-112" w:firstLine="470" w:firstLineChars="196"/>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未尽事宜，买卖双方协商解决。</w:t>
      </w:r>
    </w:p>
    <w:p>
      <w:pPr>
        <w:ind w:firstLine="482" w:firstLineChars="200"/>
        <w:rPr>
          <w:rFonts w:ascii="宋体" w:hAnsi="宋体"/>
          <w:b/>
          <w:sz w:val="28"/>
        </w:rPr>
      </w:pPr>
      <w:r>
        <w:rPr>
          <w:rFonts w:hint="eastAsia" w:ascii="宋体" w:hAnsi="宋体"/>
          <w:b/>
          <w:sz w:val="24"/>
        </w:rPr>
        <w:t>十七、供货说明</w:t>
      </w:r>
    </w:p>
    <w:p>
      <w:pPr>
        <w:spacing w:line="360" w:lineRule="auto"/>
        <w:ind w:firstLine="480" w:firstLineChars="200"/>
        <w:rPr>
          <w:rFonts w:ascii="宋体" w:hAnsi="宋体"/>
          <w:b/>
          <w:sz w:val="28"/>
        </w:rPr>
      </w:pPr>
      <w:r>
        <w:rPr>
          <w:rFonts w:hint="eastAsia" w:ascii="宋体" w:hAnsi="宋体"/>
          <w:sz w:val="24"/>
        </w:rPr>
        <w:t>（1）</w:t>
      </w:r>
      <w:r>
        <w:rPr>
          <w:rFonts w:hint="eastAsia" w:ascii="宋体" w:hAnsi="宋体"/>
          <w:sz w:val="24"/>
          <w:lang w:eastAsia="zh-CN"/>
        </w:rPr>
        <w:t>供应商</w:t>
      </w:r>
      <w:r>
        <w:rPr>
          <w:rFonts w:hint="eastAsia" w:ascii="宋体" w:hAnsi="宋体"/>
          <w:sz w:val="24"/>
        </w:rPr>
        <w:t>负责货物运送至施工现场，运费、装卸费、安装调试等均含在报价之中。</w:t>
      </w:r>
    </w:p>
    <w:p>
      <w:pPr>
        <w:spacing w:line="360" w:lineRule="auto"/>
        <w:ind w:firstLine="480" w:firstLineChars="200"/>
        <w:rPr>
          <w:rFonts w:ascii="宋体" w:hAnsi="宋体"/>
          <w:b/>
          <w:sz w:val="28"/>
        </w:rPr>
      </w:pPr>
      <w:r>
        <w:rPr>
          <w:rFonts w:hint="eastAsia" w:ascii="宋体" w:hAnsi="宋体"/>
          <w:sz w:val="24"/>
        </w:rPr>
        <w:t>（2）货物到工程施工现场，货物落地后验收。由于装卸运输造成损坏由</w:t>
      </w:r>
      <w:r>
        <w:rPr>
          <w:rFonts w:hint="eastAsia" w:ascii="宋体" w:hAnsi="宋体"/>
          <w:sz w:val="24"/>
          <w:lang w:eastAsia="zh-CN"/>
        </w:rPr>
        <w:t>供应商</w:t>
      </w:r>
      <w:r>
        <w:rPr>
          <w:rFonts w:hint="eastAsia" w:ascii="宋体" w:hAnsi="宋体"/>
          <w:sz w:val="24"/>
        </w:rPr>
        <w:t>负责。</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）货物到工程现场后</w:t>
      </w:r>
      <w:r>
        <w:rPr>
          <w:rFonts w:hint="eastAsia" w:ascii="宋体" w:hAnsi="宋体"/>
          <w:sz w:val="24"/>
          <w:lang w:eastAsia="zh-CN"/>
        </w:rPr>
        <w:t>采购方</w:t>
      </w:r>
      <w:r>
        <w:rPr>
          <w:rFonts w:hint="eastAsia" w:ascii="宋体" w:hAnsi="宋体"/>
          <w:sz w:val="24"/>
        </w:rPr>
        <w:t>有权要求进行不定量抽检（费用包含在报价中），</w:t>
      </w:r>
      <w:r>
        <w:rPr>
          <w:rFonts w:hint="eastAsia" w:ascii="宋体" w:hAnsi="宋体"/>
          <w:sz w:val="24"/>
          <w:lang w:eastAsia="zh-CN"/>
        </w:rPr>
        <w:t>供应商</w:t>
      </w:r>
      <w:r>
        <w:rPr>
          <w:rFonts w:hint="eastAsia" w:ascii="宋体" w:hAnsi="宋体"/>
          <w:sz w:val="24"/>
        </w:rPr>
        <w:t>应予以配合。</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）标项总报价为标的物可以直接使用的价格。包括：包装、保险、税金、检测、运输、装车、备品备件、技术指导等一切费用。</w:t>
      </w:r>
    </w:p>
    <w:p>
      <w:pPr>
        <w:spacing w:line="360" w:lineRule="auto"/>
        <w:ind w:right="-200" w:rightChars="-100" w:firstLine="480" w:firstLineChars="200"/>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）中标人应按合同（除采购人有特殊要求说明和标项内说明外）在规定时间内供货。若有延期，每超过一天，扣中标价2‰的违约金给采购人。</w:t>
      </w:r>
    </w:p>
    <w:p>
      <w:pPr>
        <w:pStyle w:val="16"/>
        <w:spacing w:line="360" w:lineRule="auto"/>
        <w:ind w:left="0" w:leftChars="0" w:right="-200" w:rightChars="-100" w:firstLine="480" w:firstLineChars="200"/>
        <w:rPr>
          <w:color w:val="auto"/>
        </w:rPr>
      </w:pPr>
      <w:r>
        <w:rPr>
          <w:rFonts w:hint="eastAsia"/>
          <w:color w:val="auto"/>
        </w:rPr>
        <w:t>（</w:t>
      </w:r>
      <w:r>
        <w:rPr>
          <w:rFonts w:hint="eastAsia"/>
          <w:color w:val="auto"/>
          <w:lang w:val="en-US" w:eastAsia="zh-CN"/>
        </w:rPr>
        <w:t>6</w:t>
      </w:r>
      <w:r>
        <w:rPr>
          <w:rFonts w:hint="eastAsia"/>
          <w:color w:val="auto"/>
        </w:rPr>
        <w:t>）中标人提供的中标物品，必须符合本招标文件要求、原包装送达采购单位；如有不符，采购人可以无条件退货，所造成的损失由中标人承担。更换后的物品质保期按更换日起顺延。</w:t>
      </w:r>
    </w:p>
    <w:p>
      <w:pPr>
        <w:spacing w:line="360" w:lineRule="auto"/>
        <w:ind w:right="-200" w:rightChars="-100" w:firstLine="480" w:firstLineChars="200"/>
        <w:rPr>
          <w:rFonts w:hint="eastAsia" w:ascii="宋体" w:hAnsi="宋体"/>
          <w:sz w:val="24"/>
          <w:lang w:eastAsia="zh-CN"/>
        </w:rPr>
      </w:pPr>
      <w:r>
        <w:rPr>
          <w:rFonts w:hint="eastAsia" w:ascii="宋体" w:hAnsi="宋体"/>
          <w:sz w:val="24"/>
        </w:rPr>
        <w:t>（</w:t>
      </w:r>
      <w:r>
        <w:rPr>
          <w:rFonts w:hint="eastAsia" w:ascii="宋体" w:hAnsi="宋体"/>
          <w:sz w:val="24"/>
          <w:lang w:val="en-US" w:eastAsia="zh-CN"/>
        </w:rPr>
        <w:t>7</w:t>
      </w:r>
      <w:r>
        <w:rPr>
          <w:rFonts w:hint="eastAsia" w:ascii="宋体" w:hAnsi="宋体"/>
          <w:sz w:val="24"/>
        </w:rPr>
        <w:t>）采购的物品，均按国家三包修规定实行保修（除标项内已有说明外）。在</w:t>
      </w:r>
      <w:r>
        <w:rPr>
          <w:rFonts w:hint="default" w:ascii="宋体" w:hAnsi="宋体"/>
          <w:sz w:val="24"/>
        </w:rPr>
        <w:t>质保期</w:t>
      </w:r>
      <w:r>
        <w:rPr>
          <w:rFonts w:hint="eastAsia" w:ascii="宋体" w:hAnsi="宋体"/>
          <w:sz w:val="24"/>
        </w:rPr>
        <w:t>内，如出现质量问题，供货单位在接到电话后，在2小时内响应，6个工作小时内到达，12个工作小时内不能修复的，则无偿更换有质量问题的原材料</w:t>
      </w:r>
      <w:r>
        <w:rPr>
          <w:rFonts w:hint="eastAsia" w:ascii="宋体" w:hAnsi="宋体"/>
          <w:sz w:val="24"/>
          <w:lang w:eastAsia="zh-CN"/>
        </w:rPr>
        <w:t>。</w:t>
      </w:r>
    </w:p>
    <w:p>
      <w:pPr>
        <w:pStyle w:val="2"/>
        <w:rPr>
          <w:rFonts w:hint="eastAsia"/>
          <w:lang w:eastAsia="zh-CN"/>
        </w:rPr>
      </w:pPr>
    </w:p>
    <w:tbl>
      <w:tblPr>
        <w:tblStyle w:val="26"/>
        <w:tblW w:w="9180" w:type="dxa"/>
        <w:jc w:val="center"/>
        <w:tblLayout w:type="fixed"/>
        <w:tblCellMar>
          <w:top w:w="0" w:type="dxa"/>
          <w:left w:w="108" w:type="dxa"/>
          <w:bottom w:w="0" w:type="dxa"/>
          <w:right w:w="108" w:type="dxa"/>
        </w:tblCellMar>
      </w:tblPr>
      <w:tblGrid>
        <w:gridCol w:w="4680"/>
        <w:gridCol w:w="4500"/>
      </w:tblGrid>
      <w:tr>
        <w:trPr>
          <w:jc w:val="center"/>
        </w:trPr>
        <w:tc>
          <w:tcPr>
            <w:tcW w:w="4680"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1687" w:firstLineChars="700"/>
              <w:rPr>
                <w:rFonts w:ascii="宋体" w:hAnsi="宋体" w:cs="宋体"/>
                <w:b/>
                <w:sz w:val="24"/>
              </w:rPr>
            </w:pPr>
            <w:r>
              <w:rPr>
                <w:rFonts w:hint="eastAsia" w:ascii="宋体" w:hAnsi="宋体" w:cs="宋体"/>
                <w:b/>
                <w:sz w:val="24"/>
                <w:lang w:val="zh-CN"/>
              </w:rPr>
              <w:t>供应商人</w:t>
            </w:r>
          </w:p>
          <w:p>
            <w:pPr>
              <w:autoSpaceDE w:val="0"/>
              <w:autoSpaceDN w:val="0"/>
              <w:adjustRightInd w:val="0"/>
              <w:rPr>
                <w:rFonts w:ascii="宋体" w:hAnsi="宋体" w:cs="宋体"/>
                <w:sz w:val="24"/>
                <w:lang w:val="zh-CN"/>
              </w:rPr>
            </w:pPr>
            <w:r>
              <w:rPr>
                <w:rFonts w:hint="eastAsia" w:ascii="宋体" w:hAnsi="宋体" w:cs="宋体"/>
                <w:sz w:val="24"/>
                <w:lang w:val="zh-CN"/>
              </w:rPr>
              <w:t>单位名称（盖章）：</w:t>
            </w:r>
          </w:p>
          <w:p>
            <w:pPr>
              <w:autoSpaceDE w:val="0"/>
              <w:autoSpaceDN w:val="0"/>
              <w:adjustRightInd w:val="0"/>
              <w:rPr>
                <w:rFonts w:ascii="宋体" w:hAnsi="宋体" w:cs="宋体"/>
                <w:sz w:val="24"/>
              </w:rPr>
            </w:pPr>
            <w:r>
              <w:rPr>
                <w:rFonts w:hint="eastAsia" w:ascii="宋体" w:hAnsi="宋体" w:cs="宋体"/>
                <w:sz w:val="24"/>
                <w:lang w:val="zh-CN"/>
              </w:rPr>
              <w:t>地址：</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法人代表或委托代理人：</w:t>
            </w:r>
          </w:p>
          <w:p>
            <w:pPr>
              <w:autoSpaceDE w:val="0"/>
              <w:autoSpaceDN w:val="0"/>
              <w:adjustRightInd w:val="0"/>
              <w:rPr>
                <w:rFonts w:ascii="宋体" w:hAnsi="宋体" w:cs="宋体"/>
                <w:sz w:val="24"/>
              </w:rPr>
            </w:pPr>
            <w:r>
              <w:rPr>
                <w:rFonts w:hint="eastAsia" w:ascii="宋体" w:hAnsi="宋体" w:cs="宋体"/>
                <w:sz w:val="24"/>
                <w:lang w:val="zh-CN"/>
              </w:rPr>
              <w:t>电话：</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传真：</w:t>
            </w:r>
          </w:p>
          <w:p>
            <w:pPr>
              <w:autoSpaceDE w:val="0"/>
              <w:autoSpaceDN w:val="0"/>
              <w:adjustRightInd w:val="0"/>
              <w:rPr>
                <w:rFonts w:ascii="宋体" w:hAnsi="宋体" w:cs="宋体"/>
                <w:sz w:val="24"/>
              </w:rPr>
            </w:pPr>
            <w:r>
              <w:rPr>
                <w:rFonts w:hint="eastAsia" w:ascii="宋体" w:hAnsi="宋体" w:cs="宋体"/>
                <w:sz w:val="24"/>
                <w:lang w:val="zh-CN"/>
              </w:rPr>
              <w:t>开户银行：</w:t>
            </w:r>
          </w:p>
          <w:p>
            <w:pPr>
              <w:autoSpaceDE w:val="0"/>
              <w:autoSpaceDN w:val="0"/>
              <w:adjustRightInd w:val="0"/>
              <w:rPr>
                <w:rFonts w:ascii="宋体" w:hAnsi="宋体" w:cs="宋体"/>
                <w:sz w:val="24"/>
              </w:rPr>
            </w:pPr>
            <w:r>
              <w:rPr>
                <w:rFonts w:hint="eastAsia" w:ascii="宋体" w:hAnsi="宋体" w:cs="宋体"/>
                <w:sz w:val="24"/>
                <w:lang w:val="zh-CN"/>
              </w:rPr>
              <w:t>帐号：</w:t>
            </w:r>
          </w:p>
          <w:p>
            <w:pPr>
              <w:autoSpaceDE w:val="0"/>
              <w:autoSpaceDN w:val="0"/>
              <w:adjustRightInd w:val="0"/>
              <w:rPr>
                <w:rFonts w:ascii="宋体" w:hAnsi="宋体" w:cs="宋体"/>
                <w:sz w:val="24"/>
              </w:rPr>
            </w:pPr>
            <w:r>
              <w:rPr>
                <w:rFonts w:hint="eastAsia" w:ascii="宋体" w:hAnsi="宋体" w:cs="宋体"/>
                <w:sz w:val="24"/>
                <w:lang w:val="zh-CN"/>
              </w:rPr>
              <w:t>邮政编码：</w:t>
            </w:r>
          </w:p>
          <w:p>
            <w:pPr>
              <w:autoSpaceDE w:val="0"/>
              <w:autoSpaceDN w:val="0"/>
              <w:adjustRightInd w:val="0"/>
              <w:rPr>
                <w:rFonts w:ascii="宋体" w:hAnsi="宋体" w:cs="宋体"/>
                <w:sz w:val="24"/>
              </w:rPr>
            </w:pPr>
          </w:p>
        </w:tc>
        <w:tc>
          <w:tcPr>
            <w:tcW w:w="4500"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1687" w:firstLineChars="700"/>
              <w:rPr>
                <w:rFonts w:ascii="宋体" w:hAnsi="宋体" w:cs="宋体"/>
                <w:b/>
                <w:sz w:val="24"/>
              </w:rPr>
            </w:pPr>
            <w:r>
              <w:rPr>
                <w:rFonts w:hint="eastAsia" w:ascii="宋体" w:hAnsi="宋体" w:cs="宋体"/>
                <w:b/>
                <w:sz w:val="24"/>
                <w:lang w:val="zh-CN"/>
              </w:rPr>
              <w:t>采购方人</w:t>
            </w:r>
          </w:p>
          <w:p>
            <w:pPr>
              <w:autoSpaceDE w:val="0"/>
              <w:autoSpaceDN w:val="0"/>
              <w:adjustRightInd w:val="0"/>
              <w:rPr>
                <w:rFonts w:ascii="宋体" w:hAnsi="宋体" w:cs="宋体"/>
                <w:sz w:val="24"/>
              </w:rPr>
            </w:pPr>
            <w:r>
              <w:rPr>
                <w:rFonts w:hint="eastAsia" w:ascii="宋体" w:hAnsi="宋体" w:cs="宋体"/>
                <w:sz w:val="24"/>
                <w:lang w:val="zh-CN"/>
              </w:rPr>
              <w:t>单位名称（盖章）：</w:t>
            </w:r>
          </w:p>
          <w:p>
            <w:pPr>
              <w:autoSpaceDE w:val="0"/>
              <w:autoSpaceDN w:val="0"/>
              <w:adjustRightInd w:val="0"/>
              <w:rPr>
                <w:rFonts w:ascii="宋体" w:hAnsi="宋体" w:cs="宋体"/>
                <w:sz w:val="24"/>
              </w:rPr>
            </w:pPr>
            <w:r>
              <w:rPr>
                <w:rFonts w:hint="eastAsia" w:ascii="宋体" w:hAnsi="宋体" w:cs="宋体"/>
                <w:sz w:val="24"/>
                <w:lang w:val="zh-CN"/>
              </w:rPr>
              <w:t>地址</w:t>
            </w:r>
            <w:r>
              <w:rPr>
                <w:rFonts w:hint="eastAsia" w:ascii="宋体" w:hAnsi="宋体" w:cs="宋体"/>
                <w:sz w:val="24"/>
              </w:rPr>
              <w:t>：</w:t>
            </w:r>
          </w:p>
          <w:p>
            <w:pPr>
              <w:autoSpaceDE w:val="0"/>
              <w:autoSpaceDN w:val="0"/>
              <w:adjustRightInd w:val="0"/>
              <w:rPr>
                <w:rFonts w:ascii="宋体" w:hAnsi="宋体" w:cs="宋体"/>
                <w:sz w:val="24"/>
              </w:rPr>
            </w:pPr>
            <w:r>
              <w:rPr>
                <w:rFonts w:hint="eastAsia" w:ascii="宋体" w:hAnsi="宋体" w:cs="宋体"/>
                <w:sz w:val="24"/>
                <w:lang w:val="zh-CN"/>
              </w:rPr>
              <w:t>法人代表或委托代理人</w:t>
            </w:r>
            <w:r>
              <w:rPr>
                <w:rFonts w:hint="eastAsia" w:ascii="宋体" w:hAnsi="宋体" w:cs="宋体"/>
                <w:sz w:val="24"/>
              </w:rPr>
              <w:t>：</w:t>
            </w:r>
          </w:p>
          <w:p>
            <w:pPr>
              <w:autoSpaceDE w:val="0"/>
              <w:autoSpaceDN w:val="0"/>
              <w:adjustRightInd w:val="0"/>
              <w:rPr>
                <w:rFonts w:ascii="宋体" w:hAnsi="宋体" w:cs="宋体"/>
                <w:sz w:val="24"/>
              </w:rPr>
            </w:pPr>
            <w:r>
              <w:rPr>
                <w:rFonts w:hint="eastAsia" w:ascii="宋体" w:hAnsi="宋体" w:cs="宋体"/>
                <w:sz w:val="24"/>
                <w:lang w:val="zh-CN"/>
              </w:rPr>
              <w:t>电话：</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传真：</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开户银行：</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帐号：</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邮政编码：</w:t>
            </w:r>
            <w:r>
              <w:rPr>
                <w:rFonts w:hint="eastAsia" w:ascii="宋体" w:hAnsi="宋体" w:cs="宋体"/>
                <w:sz w:val="24"/>
              </w:rPr>
              <w:t xml:space="preserve"> </w:t>
            </w:r>
          </w:p>
        </w:tc>
      </w:tr>
    </w:tbl>
    <w:p>
      <w:pPr>
        <w:spacing w:line="336" w:lineRule="auto"/>
        <w:ind w:firstLine="1080" w:firstLineChars="300"/>
        <w:jc w:val="left"/>
        <w:rPr>
          <w:rFonts w:asciiTheme="minorEastAsia" w:hAnsiTheme="minorEastAsia" w:eastAsiaTheme="minorEastAsia"/>
        </w:rPr>
      </w:pPr>
      <w:r>
        <w:rPr>
          <w:rFonts w:hint="eastAsia" w:asciiTheme="minorEastAsia" w:hAnsiTheme="minorEastAsia" w:eastAsiaTheme="minorEastAsia"/>
          <w:sz w:val="36"/>
          <w:szCs w:val="36"/>
        </w:rPr>
        <w:br w:type="page"/>
      </w:r>
    </w:p>
    <w:p>
      <w:pPr>
        <w:rPr>
          <w:rFonts w:asciiTheme="minorEastAsia" w:hAnsiTheme="minorEastAsia" w:eastAsiaTheme="minorEastAsia"/>
        </w:rPr>
      </w:pPr>
    </w:p>
    <w:p>
      <w:pPr>
        <w:pStyle w:val="5"/>
        <w:jc w:val="center"/>
        <w:rPr>
          <w:rFonts w:cs="Times New Roman" w:asciiTheme="minorEastAsia" w:hAnsiTheme="minorEastAsia" w:eastAsiaTheme="minorEastAsia"/>
          <w:sz w:val="36"/>
          <w:szCs w:val="36"/>
        </w:rPr>
      </w:pPr>
      <w:bookmarkStart w:id="99" w:name="_Toc7690"/>
      <w:bookmarkStart w:id="100" w:name="_Toc110244180"/>
      <w:bookmarkStart w:id="101" w:name="_Toc4669"/>
      <w:r>
        <w:rPr>
          <w:rFonts w:hint="eastAsia" w:cs="宋体" w:asciiTheme="minorEastAsia" w:hAnsiTheme="minorEastAsia" w:eastAsiaTheme="minorEastAsia"/>
          <w:sz w:val="36"/>
          <w:szCs w:val="36"/>
        </w:rPr>
        <w:t>第六部分应提交的有关格式范例</w:t>
      </w:r>
      <w:bookmarkEnd w:id="99"/>
      <w:bookmarkEnd w:id="100"/>
      <w:bookmarkEnd w:id="101"/>
    </w:p>
    <w:p>
      <w:pPr>
        <w:spacing w:line="360" w:lineRule="auto"/>
        <w:ind w:firstLine="480" w:firstLineChars="200"/>
        <w:outlineLvl w:val="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供应商按照以下格式编制响应文件，</w:t>
      </w:r>
      <w:r>
        <w:rPr>
          <w:rFonts w:hint="eastAsia" w:cs="宋体" w:asciiTheme="minorEastAsia" w:hAnsiTheme="minorEastAsia" w:eastAsiaTheme="minorEastAsia"/>
          <w:b/>
          <w:bCs/>
          <w:sz w:val="24"/>
          <w:szCs w:val="24"/>
        </w:rPr>
        <w:t>“资格文件”、“商务技术文件”、“报价文件”须分</w:t>
      </w: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个</w:t>
      </w:r>
      <w:r>
        <w:rPr>
          <w:rFonts w:cs="宋体" w:asciiTheme="minorEastAsia" w:hAnsiTheme="minorEastAsia" w:eastAsiaTheme="minorEastAsia"/>
          <w:b/>
          <w:bCs/>
          <w:sz w:val="24"/>
          <w:szCs w:val="24"/>
        </w:rPr>
        <w:t>PDF</w:t>
      </w:r>
      <w:r>
        <w:rPr>
          <w:rFonts w:hint="eastAsia" w:cs="宋体" w:asciiTheme="minorEastAsia" w:hAnsiTheme="minorEastAsia" w:eastAsiaTheme="minorEastAsia"/>
          <w:b/>
          <w:bCs/>
          <w:sz w:val="24"/>
          <w:szCs w:val="24"/>
        </w:rPr>
        <w:t>格式分别导入。</w:t>
      </w:r>
    </w:p>
    <w:p>
      <w:pPr>
        <w:spacing w:line="360" w:lineRule="auto"/>
        <w:ind w:firstLine="482" w:firstLineChars="200"/>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此格式内容仅为参考模板，具体内容供应商应根据询价文件要求进行调整。未按以下格式编制响应文件或因格式不规范、页码不清等原因引发的一切后果由供应商自行承担。</w:t>
      </w:r>
    </w:p>
    <w:p>
      <w:pPr>
        <w:spacing w:line="360" w:lineRule="auto"/>
        <w:jc w:val="center"/>
        <w:rPr>
          <w:rFonts w:asciiTheme="minorEastAsia" w:hAnsiTheme="minorEastAsia" w:eastAsiaTheme="minorEastAsia"/>
          <w:b/>
          <w:bCs/>
          <w:sz w:val="36"/>
          <w:szCs w:val="36"/>
        </w:rPr>
      </w:pPr>
      <w:r>
        <w:rPr>
          <w:rFonts w:asciiTheme="minorEastAsia" w:hAnsiTheme="minorEastAsia" w:eastAsiaTheme="minorEastAsia"/>
          <w:b/>
          <w:bCs/>
          <w:sz w:val="24"/>
          <w:szCs w:val="24"/>
        </w:rPr>
        <w:br w:type="page"/>
      </w:r>
      <w:r>
        <w:rPr>
          <w:rFonts w:hint="eastAsia" w:cs="宋体" w:asciiTheme="minorEastAsia" w:hAnsiTheme="minorEastAsia" w:eastAsiaTheme="minorEastAsia"/>
          <w:b/>
          <w:bCs/>
          <w:sz w:val="36"/>
          <w:szCs w:val="36"/>
        </w:rPr>
        <w:t>资格文件部分</w:t>
      </w:r>
    </w:p>
    <w:p>
      <w:pPr>
        <w:spacing w:line="360" w:lineRule="auto"/>
        <w:jc w:val="center"/>
        <w:rPr>
          <w:rFonts w:asciiTheme="minorEastAsia" w:hAnsiTheme="minorEastAsia" w:eastAsiaTheme="minorEastAsia"/>
          <w:b/>
          <w:bCs/>
          <w:sz w:val="36"/>
          <w:szCs w:val="36"/>
        </w:rPr>
      </w:pPr>
    </w:p>
    <w:p>
      <w:pPr>
        <w:spacing w:line="360" w:lineRule="auto"/>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目录</w:t>
      </w:r>
    </w:p>
    <w:p>
      <w:pPr>
        <w:pStyle w:val="52"/>
        <w:numPr>
          <w:ilvl w:val="0"/>
          <w:numId w:val="18"/>
        </w:numPr>
        <w:spacing w:before="0"/>
        <w:ind w:firstLine="480"/>
        <w:rPr>
          <w:rFonts w:ascii="宋体" w:hAnsi="宋体" w:cs="宋体"/>
        </w:rPr>
      </w:pPr>
      <w:r>
        <w:rPr>
          <w:rFonts w:hint="eastAsia" w:ascii="宋体" w:hAnsi="宋体" w:cs="宋体"/>
        </w:rPr>
        <w:t>法定代表人授权书（格式见附件，</w:t>
      </w:r>
      <w:r>
        <w:rPr>
          <w:rFonts w:hint="eastAsia"/>
          <w:b/>
          <w:bCs/>
        </w:rPr>
        <w:t>若联合体投标须提供联合体牵头人法定代表人授权书</w:t>
      </w:r>
      <w:r>
        <w:rPr>
          <w:rFonts w:hint="eastAsia" w:ascii="宋体" w:hAnsi="宋体" w:cs="宋体"/>
        </w:rPr>
        <w:t>）；如法定代表人直接参加询价并对相应文件签字的（签字是指线下签字扫描后上传或者线上进行电子签章），只需提供其身份证复印件，否则则应提供授权代表身份证复印件；</w:t>
      </w:r>
    </w:p>
    <w:p>
      <w:pPr>
        <w:pStyle w:val="52"/>
        <w:numPr>
          <w:ilvl w:val="0"/>
          <w:numId w:val="18"/>
        </w:numPr>
        <w:spacing w:before="0"/>
        <w:ind w:firstLine="480"/>
        <w:rPr>
          <w:rFonts w:ascii="宋体" w:hAnsi="宋体" w:cs="宋体"/>
        </w:rPr>
      </w:pPr>
      <w:r>
        <w:rPr>
          <w:rFonts w:hint="eastAsia" w:ascii="宋体" w:hAnsi="宋体" w:cs="宋体"/>
        </w:rPr>
        <w:t>营业执照</w:t>
      </w:r>
      <w:r>
        <w:rPr>
          <w:rFonts w:hint="eastAsia" w:ascii="宋体" w:hAnsi="宋体" w:cs="宋体"/>
          <w:b/>
          <w:bCs/>
        </w:rPr>
        <w:t>（若联合体投标须提供联合体牵头人及全体成员的营业执照）</w:t>
      </w:r>
      <w:r>
        <w:rPr>
          <w:rFonts w:hint="eastAsia" w:ascii="宋体" w:hAnsi="宋体" w:cs="宋体"/>
        </w:rPr>
        <w:t>(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2"/>
        <w:spacing w:before="0"/>
        <w:ind w:firstLine="480"/>
        <w:rPr>
          <w:rFonts w:ascii="宋体" w:hAnsi="宋体" w:cs="宋体"/>
        </w:rPr>
      </w:pPr>
      <w:r>
        <w:rPr>
          <w:rFonts w:hint="eastAsia" w:ascii="宋体" w:hAnsi="宋体" w:cs="宋体"/>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询价响应文件中提供相关材料），证明其具备实际承担责任的能力和法定的缔结合同能力，可以独立参加采购活动，由单位负责人签署相关文件材料；</w:t>
      </w:r>
    </w:p>
    <w:p>
      <w:pPr>
        <w:pStyle w:val="52"/>
        <w:numPr>
          <w:ilvl w:val="0"/>
          <w:numId w:val="18"/>
        </w:numPr>
        <w:spacing w:before="0"/>
        <w:ind w:firstLine="480"/>
        <w:rPr>
          <w:rFonts w:ascii="宋体" w:hAnsi="宋体" w:cs="宋体"/>
        </w:rPr>
      </w:pPr>
      <w:r>
        <w:rPr>
          <w:rFonts w:hint="eastAsia" w:ascii="宋体" w:hAnsi="宋体" w:cs="宋体"/>
        </w:rPr>
        <w:t>具有履行合同所必需的产品和专业技术能力的承诺函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18"/>
        </w:numPr>
        <w:spacing w:before="0"/>
        <w:ind w:firstLine="480"/>
        <w:rPr>
          <w:rFonts w:ascii="宋体" w:hAnsi="宋体" w:cs="宋体"/>
        </w:rPr>
      </w:pPr>
      <w:r>
        <w:rPr>
          <w:rFonts w:hint="eastAsia" w:ascii="宋体" w:hAnsi="宋体" w:cs="宋体"/>
        </w:rPr>
        <w:t>投标人承诺函（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18"/>
        </w:numPr>
        <w:spacing w:before="0"/>
        <w:ind w:firstLine="480"/>
        <w:rPr>
          <w:rFonts w:ascii="宋体" w:hAnsi="宋体" w:cs="宋体"/>
        </w:rPr>
      </w:pPr>
      <w:r>
        <w:rPr>
          <w:rFonts w:hint="eastAsia" w:ascii="宋体"/>
          <w:color w:val="auto"/>
          <w:highlight w:val="none"/>
        </w:rPr>
        <w:t>联合体协议</w:t>
      </w:r>
      <w:r>
        <w:rPr>
          <w:rFonts w:hint="eastAsia" w:ascii="宋体"/>
          <w:b/>
          <w:bCs/>
          <w:color w:val="auto"/>
          <w:highlight w:val="none"/>
        </w:rPr>
        <w:t>（若联合体投标须提供）</w:t>
      </w:r>
      <w:r>
        <w:rPr>
          <w:rFonts w:hint="eastAsia" w:ascii="宋体"/>
          <w:b/>
          <w:bCs/>
          <w:color w:val="auto"/>
          <w:highlight w:val="none"/>
          <w:lang w:eastAsia="zh-CN"/>
        </w:rPr>
        <w:t>。</w:t>
      </w:r>
    </w:p>
    <w:p>
      <w:pPr>
        <w:pStyle w:val="52"/>
        <w:spacing w:before="0"/>
        <w:ind w:firstLine="482"/>
        <w:rPr>
          <w:rFonts w:ascii="宋体" w:hAnsi="宋体" w:cs="宋体"/>
        </w:rPr>
      </w:pPr>
      <w:r>
        <w:rPr>
          <w:rFonts w:hint="eastAsia" w:ascii="宋体" w:hAnsi="宋体" w:cs="宋体"/>
          <w:b/>
          <w:bCs/>
        </w:rPr>
        <w:t>注：以上证明材料中，若联合体投标且要求提供“联合体牵头人及全体成员”相关资料的，则联合体牵头人及全体成员均须加盖公章（</w:t>
      </w:r>
      <w:r>
        <w:rPr>
          <w:rFonts w:ascii="宋体" w:hAnsi="宋体" w:cs="宋体"/>
          <w:b/>
          <w:bCs/>
        </w:rPr>
        <w:t>除联合体牵头人外其他全体成员</w:t>
      </w:r>
      <w:r>
        <w:rPr>
          <w:rFonts w:hint="eastAsia" w:ascii="宋体" w:hAnsi="宋体" w:cs="宋体"/>
          <w:b/>
          <w:bCs/>
        </w:rPr>
        <w:t>可</w:t>
      </w:r>
      <w:r>
        <w:rPr>
          <w:rFonts w:ascii="宋体" w:hAnsi="宋体" w:cs="宋体"/>
          <w:b/>
          <w:bCs/>
        </w:rPr>
        <w:t>线下</w:t>
      </w:r>
      <w:r>
        <w:rPr>
          <w:rFonts w:hint="eastAsia" w:ascii="宋体" w:hAnsi="宋体" w:cs="宋体"/>
          <w:b/>
          <w:bCs/>
        </w:rPr>
        <w:t>加盖</w:t>
      </w:r>
      <w:r>
        <w:rPr>
          <w:rFonts w:ascii="宋体" w:hAnsi="宋体" w:cs="宋体"/>
          <w:b/>
          <w:bCs/>
        </w:rPr>
        <w:t>公章后上传）</w:t>
      </w:r>
      <w:r>
        <w:rPr>
          <w:rFonts w:hint="eastAsia" w:ascii="宋体" w:hAnsi="宋体" w:cs="宋体"/>
          <w:b/>
          <w:bCs/>
        </w:rPr>
        <w:t>，否则按无效标处理。</w:t>
      </w:r>
    </w:p>
    <w:p>
      <w:pPr>
        <w:pStyle w:val="52"/>
        <w:spacing w:before="0" w:line="336" w:lineRule="auto"/>
        <w:ind w:left="480" w:firstLine="0" w:firstLineChars="0"/>
        <w:rPr>
          <w:rFonts w:asciiTheme="minorEastAsia" w:hAnsiTheme="minorEastAsia" w:eastAsiaTheme="minorEastAsia"/>
        </w:rPr>
      </w:pPr>
    </w:p>
    <w:p>
      <w:pPr>
        <w:pStyle w:val="12"/>
        <w:ind w:firstLine="0"/>
        <w:rPr>
          <w:rFonts w:cs="Times New Roman" w:asciiTheme="minorEastAsia" w:hAnsiTheme="minorEastAsia" w:eastAsiaTheme="minorEastAsia"/>
        </w:rPr>
      </w:pPr>
    </w:p>
    <w:p>
      <w:pPr>
        <w:pStyle w:val="12"/>
        <w:ind w:firstLine="486"/>
        <w:rPr>
          <w:rFonts w:cs="Times New Roman" w:asciiTheme="minorEastAsia" w:hAnsiTheme="minorEastAsia" w:eastAsiaTheme="minorEastAsia"/>
        </w:rPr>
      </w:pPr>
    </w:p>
    <w:p>
      <w:pPr>
        <w:rPr>
          <w:rFonts w:asciiTheme="minorEastAsia" w:hAnsiTheme="minorEastAsia" w:eastAsiaTheme="minorEastAsia"/>
          <w:b/>
          <w:bCs/>
        </w:rPr>
      </w:pPr>
      <w:bookmarkStart w:id="102" w:name="_Toc24699"/>
      <w:r>
        <w:rPr>
          <w:rFonts w:hint="eastAsia" w:cs="宋体" w:asciiTheme="minorEastAsia" w:hAnsiTheme="minorEastAsia" w:eastAsiaTheme="minorEastAsia"/>
          <w:b/>
          <w:bCs/>
        </w:rPr>
        <w:t>附件一：</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法定代表人授权书</w:t>
      </w:r>
      <w:bookmarkEnd w:id="102"/>
    </w:p>
    <w:p>
      <w:pPr>
        <w:pStyle w:val="3"/>
        <w:spacing w:line="360" w:lineRule="auto"/>
        <w:rPr>
          <w:rFonts w:asciiTheme="minorEastAsia" w:hAnsiTheme="minorEastAsia" w:eastAsiaTheme="minorEastAsia"/>
        </w:rPr>
      </w:pP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绍兴市上虞城市建设集团有限公司</w:t>
      </w:r>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绍兴明晨建设项目管理有限公司：</w:t>
      </w:r>
    </w:p>
    <w:p>
      <w:pPr>
        <w:spacing w:line="360" w:lineRule="auto"/>
        <w:ind w:firstLine="480" w:firstLineChars="200"/>
        <w:rPr>
          <w:rFonts w:ascii="宋体" w:hAnsi="宋体" w:cs="宋体"/>
          <w:sz w:val="24"/>
        </w:rPr>
      </w:pPr>
      <w:r>
        <w:rPr>
          <w:rFonts w:hint="eastAsia" w:ascii="宋体" w:hAnsi="宋体" w:cs="宋体"/>
          <w:sz w:val="24"/>
          <w:u w:val="single"/>
        </w:rPr>
        <w:t xml:space="preserve">  （投标人全称） </w:t>
      </w: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授权</w:t>
      </w:r>
      <w:r>
        <w:rPr>
          <w:rFonts w:hint="eastAsia" w:ascii="宋体" w:hAnsi="宋体" w:cs="宋体"/>
          <w:sz w:val="24"/>
          <w:u w:val="single"/>
        </w:rPr>
        <w:t>（授权代表名称）</w:t>
      </w:r>
      <w:r>
        <w:rPr>
          <w:rFonts w:hint="eastAsia" w:ascii="宋体" w:hAnsi="宋体" w:cs="宋体"/>
          <w:sz w:val="24"/>
        </w:rPr>
        <w:t>为授权代表，参加贵处组织的</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u w:val="single"/>
        </w:rPr>
        <w:t>（括号内填写招标编号）</w:t>
      </w:r>
      <w:r>
        <w:rPr>
          <w:rFonts w:hint="eastAsia" w:ascii="宋体" w:hAnsi="宋体" w:cs="宋体"/>
          <w:sz w:val="24"/>
        </w:rPr>
        <w:t>，授权处理招投标活动中的一切事宜。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法定代表人签字：</w:t>
      </w:r>
    </w:p>
    <w:p>
      <w:pPr>
        <w:spacing w:line="360" w:lineRule="auto"/>
        <w:ind w:firstLine="480" w:firstLineChars="200"/>
        <w:rPr>
          <w:rFonts w:ascii="宋体" w:hAnsi="宋体" w:cs="宋体"/>
          <w:sz w:val="24"/>
        </w:rPr>
      </w:pPr>
      <w:r>
        <w:rPr>
          <w:rFonts w:hint="eastAsia" w:ascii="宋体" w:hAnsi="宋体" w:cs="宋体"/>
          <w:sz w:val="24"/>
        </w:rPr>
        <w:t>投标人全称：（盖章）</w:t>
      </w:r>
    </w:p>
    <w:p>
      <w:pPr>
        <w:spacing w:line="360" w:lineRule="auto"/>
        <w:ind w:firstLine="480" w:firstLineChars="200"/>
        <w:rPr>
          <w:rFonts w:ascii="宋体" w:hAnsi="宋体" w:cs="宋体"/>
          <w:sz w:val="24"/>
        </w:rPr>
      </w:pPr>
      <w:r>
        <w:rPr>
          <w:rFonts w:hint="eastAsia" w:ascii="宋体" w:hAnsi="宋体" w:cs="宋体"/>
          <w:sz w:val="24"/>
        </w:rPr>
        <w:t>日期：</w:t>
      </w:r>
    </w:p>
    <w:p>
      <w:pPr>
        <w:spacing w:line="360" w:lineRule="auto"/>
        <w:ind w:firstLine="480" w:firstLineChars="200"/>
        <w:rPr>
          <w:rFonts w:ascii="宋体" w:hAnsi="宋体" w:cs="宋体"/>
          <w:sz w:val="24"/>
        </w:rPr>
      </w:pPr>
      <w:r>
        <w:rPr>
          <w:rFonts w:hint="eastAsia" w:ascii="宋体" w:hAnsi="宋体" w:cs="宋体"/>
          <w:sz w:val="24"/>
        </w:rPr>
        <w:t>附：</w:t>
      </w:r>
    </w:p>
    <w:p>
      <w:pPr>
        <w:spacing w:line="360" w:lineRule="auto"/>
        <w:ind w:firstLine="480" w:firstLineChars="200"/>
        <w:rPr>
          <w:rFonts w:ascii="宋体" w:hAnsi="宋体" w:cs="宋体"/>
          <w:sz w:val="24"/>
        </w:rPr>
      </w:pPr>
      <w:r>
        <w:rPr>
          <w:rFonts w:hint="eastAsia" w:ascii="宋体" w:hAnsi="宋体" w:cs="宋体"/>
          <w:sz w:val="24"/>
        </w:rPr>
        <w:t>授权代表姓名：</w:t>
      </w:r>
    </w:p>
    <w:p>
      <w:pPr>
        <w:spacing w:line="360" w:lineRule="auto"/>
        <w:ind w:firstLine="480" w:firstLineChars="200"/>
        <w:rPr>
          <w:rFonts w:ascii="宋体" w:hAnsi="宋体" w:cs="宋体"/>
          <w:sz w:val="24"/>
        </w:rPr>
      </w:pPr>
      <w:r>
        <w:rPr>
          <w:rFonts w:hint="eastAsia" w:ascii="宋体" w:hAnsi="宋体" w:cs="宋体"/>
          <w:sz w:val="24"/>
        </w:rPr>
        <w:t>职务：</w:t>
      </w:r>
    </w:p>
    <w:p>
      <w:pPr>
        <w:spacing w:line="360" w:lineRule="auto"/>
        <w:ind w:firstLine="480" w:firstLineChars="200"/>
        <w:rPr>
          <w:rFonts w:ascii="宋体" w:hAnsi="宋体" w:cs="宋体"/>
          <w:sz w:val="24"/>
        </w:rPr>
      </w:pPr>
      <w:r>
        <w:rPr>
          <w:rFonts w:hint="eastAsia" w:ascii="宋体" w:hAnsi="宋体" w:cs="宋体"/>
          <w:sz w:val="24"/>
        </w:rPr>
        <w:t>详细通讯地址：</w:t>
      </w:r>
    </w:p>
    <w:p>
      <w:pPr>
        <w:spacing w:line="360" w:lineRule="auto"/>
        <w:ind w:firstLine="480" w:firstLineChars="200"/>
        <w:rPr>
          <w:rFonts w:ascii="宋体" w:hAnsi="宋体" w:cs="宋体"/>
          <w:sz w:val="24"/>
        </w:rPr>
      </w:pPr>
      <w:r>
        <w:rPr>
          <w:rFonts w:hint="eastAsia" w:ascii="宋体" w:hAnsi="宋体" w:cs="宋体"/>
          <w:sz w:val="24"/>
        </w:rPr>
        <w:t>传真：</w:t>
      </w:r>
    </w:p>
    <w:p>
      <w:pPr>
        <w:spacing w:line="360" w:lineRule="auto"/>
        <w:ind w:firstLine="480" w:firstLineChars="200"/>
        <w:rPr>
          <w:rFonts w:ascii="宋体" w:hAnsi="宋体" w:cs="宋体"/>
          <w:sz w:val="24"/>
        </w:rPr>
      </w:pPr>
      <w:r>
        <w:rPr>
          <w:rFonts w:hint="eastAsia" w:ascii="宋体" w:hAnsi="宋体" w:cs="宋体"/>
          <w:sz w:val="24"/>
        </w:rPr>
        <w:t>电话：</w:t>
      </w:r>
    </w:p>
    <w:p>
      <w:pPr>
        <w:spacing w:line="360" w:lineRule="auto"/>
        <w:ind w:firstLine="480" w:firstLineChars="200"/>
        <w:rPr>
          <w:rFonts w:ascii="宋体" w:hAnsi="宋体" w:cs="宋体"/>
          <w:sz w:val="24"/>
        </w:rPr>
      </w:pPr>
      <w:r>
        <w:rPr>
          <w:rFonts w:hint="eastAsia" w:ascii="宋体" w:hAnsi="宋体" w:cs="宋体"/>
          <w:sz w:val="24"/>
        </w:rPr>
        <w:t>邮政编码：</w:t>
      </w:r>
    </w:p>
    <w:p>
      <w:pPr>
        <w:pStyle w:val="15"/>
        <w:snapToGrid w:val="0"/>
        <w:spacing w:line="360" w:lineRule="auto"/>
        <w:rPr>
          <w:rFonts w:hAnsi="宋体"/>
          <w:sz w:val="24"/>
        </w:rPr>
      </w:pPr>
    </w:p>
    <w:p>
      <w:pPr>
        <w:pStyle w:val="15"/>
        <w:snapToGrid w:val="0"/>
        <w:spacing w:line="360" w:lineRule="auto"/>
        <w:rPr>
          <w:rFonts w:hAnsi="宋体"/>
          <w:sz w:val="24"/>
        </w:rPr>
      </w:pPr>
    </w:p>
    <w:p>
      <w:pPr>
        <w:pStyle w:val="15"/>
        <w:snapToGrid w:val="0"/>
        <w:spacing w:line="360" w:lineRule="auto"/>
        <w:rPr>
          <w:rFonts w:hAnsi="宋体"/>
          <w:sz w:val="24"/>
        </w:rPr>
      </w:pPr>
    </w:p>
    <w:p>
      <w:pPr>
        <w:spacing w:line="360" w:lineRule="auto"/>
        <w:rPr>
          <w:rFonts w:asciiTheme="minorEastAsia" w:hAnsiTheme="minorEastAsia" w:eastAsiaTheme="minorEastAsia"/>
          <w:b/>
          <w:bCs/>
          <w:sz w:val="24"/>
          <w:szCs w:val="24"/>
        </w:rPr>
      </w:pPr>
      <w:r>
        <w:rPr>
          <w:rFonts w:hint="eastAsia" w:ascii="宋体" w:hAnsi="宋体" w:cs="宋体"/>
          <w:b/>
          <w:sz w:val="24"/>
        </w:rPr>
        <w:t>附：授权代表身份证扫描件（正反面）</w:t>
      </w:r>
    </w:p>
    <w:p>
      <w:pPr>
        <w:spacing w:line="360" w:lineRule="auto"/>
        <w:rPr>
          <w:rFonts w:asciiTheme="minorEastAsia" w:hAnsiTheme="minorEastAsia" w:eastAsiaTheme="minorEastAsia"/>
          <w:b/>
          <w:bCs/>
          <w:sz w:val="24"/>
          <w:szCs w:val="24"/>
        </w:rPr>
      </w:pPr>
    </w:p>
    <w:p>
      <w:pPr>
        <w:pStyle w:val="12"/>
        <w:ind w:firstLine="486"/>
        <w:rPr>
          <w:rFonts w:cs="Times New Roman" w:asciiTheme="minorEastAsia" w:hAnsiTheme="minorEastAsia" w:eastAsiaTheme="minorEastAsia"/>
        </w:rPr>
      </w:pPr>
    </w:p>
    <w:p>
      <w:pPr>
        <w:snapToGrid w:val="0"/>
        <w:spacing w:before="50" w:after="156" w:afterLines="50"/>
        <w:jc w:val="left"/>
        <w:rPr>
          <w:rFonts w:asciiTheme="minorEastAsia" w:hAnsiTheme="minorEastAsia" w:eastAsiaTheme="minorEastAsia"/>
          <w:b/>
          <w:bCs/>
          <w:sz w:val="24"/>
          <w:szCs w:val="24"/>
          <w:lang w:val="zh-CN"/>
        </w:rPr>
      </w:pPr>
      <w:r>
        <w:rPr>
          <w:rFonts w:asciiTheme="minorEastAsia" w:hAnsiTheme="minorEastAsia" w:eastAsiaTheme="minorEastAsia"/>
          <w:b/>
          <w:bCs/>
          <w:sz w:val="24"/>
          <w:szCs w:val="24"/>
        </w:rPr>
        <w:br w:type="page"/>
      </w:r>
      <w:r>
        <w:rPr>
          <w:rFonts w:hint="eastAsia" w:cs="宋体" w:asciiTheme="minorEastAsia" w:hAnsiTheme="minorEastAsia" w:eastAsiaTheme="minorEastAsia"/>
          <w:b/>
          <w:bCs/>
          <w:sz w:val="24"/>
          <w:szCs w:val="24"/>
          <w:lang w:val="zh-CN"/>
        </w:rPr>
        <w:t>附件二：</w:t>
      </w:r>
    </w:p>
    <w:p>
      <w:pPr>
        <w:spacing w:line="360" w:lineRule="auto"/>
        <w:jc w:val="center"/>
        <w:rPr>
          <w:rFonts w:ascii="宋体" w:hAnsi="宋体" w:cs="宋体"/>
          <w:b/>
          <w:bCs/>
          <w:sz w:val="32"/>
          <w:szCs w:val="32"/>
        </w:rPr>
      </w:pPr>
      <w:r>
        <w:rPr>
          <w:rFonts w:hint="eastAsia" w:ascii="宋体" w:hAnsi="宋体" w:cs="宋体"/>
          <w:b/>
          <w:bCs/>
          <w:sz w:val="32"/>
          <w:szCs w:val="32"/>
        </w:rPr>
        <w:t>投标人承诺函</w:t>
      </w:r>
    </w:p>
    <w:p>
      <w:pPr>
        <w:spacing w:line="360" w:lineRule="auto"/>
        <w:ind w:firstLine="400" w:firstLineChars="200"/>
        <w:rPr>
          <w:rFonts w:ascii="宋体" w:hAnsi="宋体" w:cs="宋体"/>
        </w:rPr>
      </w:pPr>
    </w:p>
    <w:p>
      <w:pPr>
        <w:snapToGrid w:val="0"/>
        <w:spacing w:line="360" w:lineRule="auto"/>
        <w:rPr>
          <w:rFonts w:ascii="宋体" w:hAnsi="宋体" w:cs="仿宋"/>
          <w:sz w:val="24"/>
        </w:rPr>
      </w:pPr>
      <w:r>
        <w:rPr>
          <w:rFonts w:hint="eastAsia" w:cs="宋体" w:asciiTheme="minorEastAsia" w:hAnsiTheme="minorEastAsia" w:eastAsiaTheme="minorEastAsia"/>
          <w:sz w:val="24"/>
          <w:szCs w:val="24"/>
          <w:lang w:eastAsia="zh-CN"/>
        </w:rPr>
        <w:t>绍兴市上虞</w:t>
      </w:r>
      <w:r>
        <w:rPr>
          <w:rFonts w:hint="eastAsia" w:cs="宋体" w:asciiTheme="minorEastAsia" w:hAnsiTheme="minorEastAsia" w:eastAsiaTheme="minorEastAsia"/>
          <w:sz w:val="24"/>
          <w:szCs w:val="24"/>
          <w:lang w:val="en-US" w:eastAsia="zh-CN"/>
        </w:rPr>
        <w:t>城市建设集团</w:t>
      </w:r>
      <w:r>
        <w:rPr>
          <w:rFonts w:hint="eastAsia" w:cs="宋体" w:asciiTheme="minorEastAsia" w:hAnsiTheme="minorEastAsia" w:eastAsiaTheme="minorEastAsia"/>
          <w:sz w:val="24"/>
          <w:szCs w:val="24"/>
          <w:lang w:eastAsia="zh-CN"/>
        </w:rPr>
        <w:t>有限公司</w:t>
      </w:r>
      <w:r>
        <w:rPr>
          <w:rFonts w:hint="eastAsia" w:ascii="宋体" w:hAnsi="宋体" w:cs="仿宋"/>
          <w:sz w:val="24"/>
        </w:rPr>
        <w:t>：</w:t>
      </w:r>
    </w:p>
    <w:p>
      <w:pPr>
        <w:snapToGrid w:val="0"/>
        <w:spacing w:line="360" w:lineRule="auto"/>
        <w:rPr>
          <w:rFonts w:ascii="宋体" w:hAnsi="宋体" w:cs="仿宋"/>
          <w:sz w:val="24"/>
        </w:rPr>
      </w:pPr>
      <w:r>
        <w:rPr>
          <w:rFonts w:hint="eastAsia" w:ascii="宋体" w:hAnsi="宋体" w:cs="仿宋"/>
          <w:sz w:val="24"/>
        </w:rPr>
        <w:t>绍兴明晨建设项目管理有限公司</w:t>
      </w:r>
      <w:r>
        <w:rPr>
          <w:rFonts w:hint="eastAsia" w:ascii="宋体" w:hAnsi="宋体" w:cs="仿宋"/>
          <w:sz w:val="24"/>
          <w:lang w:val="zh-CN"/>
        </w:rPr>
        <w:t>：</w:t>
      </w:r>
    </w:p>
    <w:p>
      <w:pPr>
        <w:spacing w:line="360" w:lineRule="auto"/>
        <w:ind w:firstLine="480" w:firstLineChars="200"/>
        <w:rPr>
          <w:rFonts w:ascii="宋体" w:hAns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的法定代表人，我方愿意参加贵方组织的</w:t>
      </w:r>
      <w:r>
        <w:rPr>
          <w:rFonts w:hint="eastAsia" w:ascii="宋体" w:hAnsi="宋体" w:cs="宋体"/>
          <w:sz w:val="24"/>
          <w:u w:val="single"/>
        </w:rPr>
        <w:t>（招标项目名称）（编号为）</w:t>
      </w:r>
      <w:r>
        <w:rPr>
          <w:rFonts w:hint="eastAsia" w:ascii="宋体" w:hAnsi="宋体" w:cs="宋体"/>
          <w:sz w:val="24"/>
        </w:rPr>
        <w:t>的投标，为此，我方就本次投标有关事项郑重承诺如下：</w:t>
      </w:r>
    </w:p>
    <w:p>
      <w:pPr>
        <w:spacing w:line="360" w:lineRule="auto"/>
        <w:ind w:firstLine="480" w:firstLineChars="200"/>
        <w:rPr>
          <w:rFonts w:ascii="宋体" w:hAnsi="宋体" w:cs="宋体"/>
          <w:sz w:val="24"/>
        </w:rPr>
      </w:pPr>
      <w:r>
        <w:rPr>
          <w:rFonts w:hint="eastAsia" w:ascii="宋体" w:hAnsi="宋体" w:cs="宋体"/>
          <w:sz w:val="24"/>
        </w:rPr>
        <w:t>1、我方已详细审查全部招标文件，同意招标文件的各项要求。</w:t>
      </w:r>
    </w:p>
    <w:p>
      <w:pPr>
        <w:spacing w:line="360" w:lineRule="auto"/>
        <w:ind w:firstLine="480" w:firstLineChars="200"/>
        <w:rPr>
          <w:rFonts w:ascii="宋体" w:hAnsi="宋体" w:cs="宋体"/>
          <w:sz w:val="24"/>
        </w:rPr>
      </w:pPr>
      <w:r>
        <w:rPr>
          <w:rFonts w:hint="eastAsia" w:ascii="宋体" w:hAnsi="宋体" w:cs="宋体"/>
          <w:sz w:val="24"/>
        </w:rPr>
        <w:t>2、我方向贵方提交的所有投标文件、资料都是准确的和真实的。</w:t>
      </w:r>
    </w:p>
    <w:p>
      <w:pPr>
        <w:spacing w:line="360" w:lineRule="auto"/>
        <w:ind w:firstLine="480" w:firstLineChars="200"/>
        <w:rPr>
          <w:rFonts w:ascii="宋体" w:hAnsi="宋体" w:cs="宋体"/>
          <w:sz w:val="24"/>
        </w:rPr>
      </w:pPr>
      <w:r>
        <w:rPr>
          <w:rFonts w:hint="eastAsia" w:ascii="宋体" w:hAnsi="宋体" w:cs="宋体"/>
          <w:sz w:val="24"/>
        </w:rPr>
        <w:t>3、若中标，我方将按招标文件规定履行合同责任和义务。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rPr>
      </w:pPr>
      <w:r>
        <w:rPr>
          <w:rFonts w:hint="eastAsia" w:ascii="宋体" w:hAnsi="宋体" w:cs="宋体"/>
          <w:sz w:val="24"/>
        </w:rPr>
        <w:t>5、投标文件自开标日起有效期为90天。</w:t>
      </w:r>
    </w:p>
    <w:p>
      <w:pPr>
        <w:spacing w:line="360" w:lineRule="auto"/>
        <w:ind w:firstLine="480" w:firstLineChars="200"/>
        <w:rPr>
          <w:rFonts w:ascii="宋体" w:hAnsi="宋体" w:cs="宋体"/>
          <w:sz w:val="24"/>
        </w:rPr>
      </w:pPr>
      <w:r>
        <w:rPr>
          <w:rFonts w:hint="eastAsia" w:ascii="宋体" w:hAnsi="宋体" w:cs="宋体"/>
          <w:sz w:val="24"/>
        </w:rPr>
        <w:t>6、我方参与本项目前3年内的经营活动中没有重大违法记录；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7、我方通过“信用中国”网站（www.creditchina.gov.cn）、中国政府采购网（www.ccgp.gov.cn）查询，未被列入失信被执行人、重大税收违法案件当事人名单、政府采购严重违法失信行为记录名单。</w:t>
      </w:r>
    </w:p>
    <w:p>
      <w:pPr>
        <w:pStyle w:val="52"/>
        <w:spacing w:before="0"/>
        <w:ind w:firstLine="480"/>
        <w:rPr>
          <w:rFonts w:ascii="宋体" w:hAnsi="宋体" w:cs="宋体"/>
        </w:rPr>
      </w:pPr>
      <w:r>
        <w:rPr>
          <w:rFonts w:hint="eastAsia" w:ascii="宋体" w:hAnsi="宋体" w:cs="宋体"/>
        </w:rPr>
        <w:t>8、具有良好的商业信誉和健全的财务会计制度；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9、具有依法缴纳税收和社会保障资金的良好记录；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10、以上事项如有虚假或隐瞒，我方愿意承担一切后果，并不再寻求任何旨在减轻或免除法律责任的辩解。</w:t>
      </w:r>
    </w:p>
    <w:p>
      <w:pPr>
        <w:pStyle w:val="12"/>
      </w:pPr>
    </w:p>
    <w:p>
      <w:pPr>
        <w:pStyle w:val="12"/>
      </w:pP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法定代表人签名（或签名章）：</w:t>
      </w: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日期：</w:t>
      </w:r>
    </w:p>
    <w:p>
      <w:pPr>
        <w:spacing w:line="360" w:lineRule="auto"/>
        <w:ind w:left="3600" w:leftChars="1800" w:firstLine="480" w:firstLineChars="200"/>
        <w:rPr>
          <w:rFonts w:asciiTheme="minorEastAsia" w:hAnsiTheme="minorEastAsia" w:eastAsiaTheme="minorEastAsia"/>
          <w:sz w:val="24"/>
          <w:szCs w:val="24"/>
        </w:rPr>
      </w:pPr>
      <w:r>
        <w:rPr>
          <w:rFonts w:hint="eastAsia" w:ascii="宋体" w:hAnsi="宋体" w:cs="宋体"/>
          <w:sz w:val="24"/>
          <w:szCs w:val="24"/>
        </w:rPr>
        <w:t>供应商全称（公章）：</w:t>
      </w:r>
    </w:p>
    <w:p>
      <w:pPr>
        <w:pStyle w:val="2"/>
        <w:jc w:val="left"/>
        <w:rPr>
          <w:rFonts w:hint="eastAsia"/>
          <w:color w:val="auto"/>
          <w:highlight w:val="none"/>
        </w:rPr>
      </w:pPr>
      <w:bookmarkStart w:id="103" w:name="_Toc117449416"/>
      <w:r>
        <w:rPr>
          <w:rFonts w:hint="eastAsia" w:hAnsi="宋体" w:cs="宋体"/>
          <w:bCs/>
          <w:color w:val="auto"/>
          <w:sz w:val="24"/>
          <w:highlight w:val="none"/>
          <w:lang w:val="zh-CN"/>
        </w:rPr>
        <w:t>附件三：</w:t>
      </w:r>
      <w:bookmarkEnd w:id="103"/>
    </w:p>
    <w:p>
      <w:pPr>
        <w:pStyle w:val="2"/>
        <w:jc w:val="center"/>
        <w:rPr>
          <w:rFonts w:hint="eastAsia" w:ascii="宋体" w:hAnsi="宋体" w:eastAsia="宋体" w:cs="宋体"/>
          <w:b/>
          <w:bCs/>
          <w:sz w:val="32"/>
          <w:szCs w:val="32"/>
          <w:lang w:val="en-US" w:eastAsia="zh-CN" w:bidi="ar-SA"/>
        </w:rPr>
      </w:pPr>
      <w:bookmarkStart w:id="104" w:name="_Toc117449417"/>
      <w:r>
        <w:rPr>
          <w:rFonts w:hint="eastAsia" w:ascii="宋体" w:hAnsi="宋体" w:eastAsia="宋体" w:cs="宋体"/>
          <w:b/>
          <w:bCs/>
          <w:sz w:val="32"/>
          <w:szCs w:val="32"/>
          <w:lang w:val="en-US" w:eastAsia="zh-CN" w:bidi="ar-SA"/>
        </w:rPr>
        <w:t>联合体协议书（如有）</w:t>
      </w:r>
      <w:bookmarkEnd w:id="104"/>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（所有成员单位名称）自愿组成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（联合体名称）联合体，共同参加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（项目名称）投标。现就联合体投标事宜订立如下协议。</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（某成员单位名称）为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（联合体名称）牵头人。</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3、联合体将严格按照采购文件的各项要求，递交响应文件，履行合同，并对外承担连带责任。</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4、联合体各成员单位内部的职责分工如下：</w:t>
      </w:r>
    </w:p>
    <w:p>
      <w:pPr>
        <w:pStyle w:val="81"/>
        <w:spacing w:line="360" w:lineRule="auto"/>
        <w:ind w:firstLine="456" w:firstLineChars="200"/>
        <w:rPr>
          <w:rFonts w:ascii="宋体" w:hAnsi="宋体" w:cs="宋体"/>
          <w:b/>
          <w:bCs/>
          <w:color w:val="auto"/>
          <w:w w:val="95"/>
          <w:sz w:val="24"/>
          <w:szCs w:val="24"/>
          <w:highlight w:val="none"/>
          <w:u w:val="single" w:color="000000"/>
        </w:rPr>
      </w:pP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ascii="宋体" w:hAnsi="宋体" w:cs="宋体"/>
          <w:b/>
          <w:bCs/>
          <w:color w:val="auto"/>
          <w:w w:val="95"/>
          <w:sz w:val="24"/>
          <w:szCs w:val="24"/>
          <w:highlight w:val="none"/>
        </w:rPr>
        <w:t>作为联合体牵头方，负责</w:t>
      </w: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hint="eastAsia" w:ascii="宋体" w:hAnsi="宋体" w:cs="宋体"/>
          <w:b/>
          <w:bCs/>
          <w:color w:val="auto"/>
          <w:w w:val="95"/>
          <w:sz w:val="24"/>
          <w:szCs w:val="24"/>
          <w:highlight w:val="none"/>
        </w:rPr>
        <w:t>；</w:t>
      </w:r>
    </w:p>
    <w:p>
      <w:pPr>
        <w:pStyle w:val="81"/>
        <w:spacing w:line="360" w:lineRule="auto"/>
        <w:ind w:firstLine="456" w:firstLineChars="200"/>
        <w:rPr>
          <w:rFonts w:ascii="宋体" w:hAnsi="宋体"/>
          <w:color w:val="auto"/>
          <w:sz w:val="24"/>
          <w:szCs w:val="24"/>
          <w:highlight w:val="none"/>
          <w:u w:val="single"/>
        </w:rPr>
      </w:pP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ascii="宋体" w:hAnsi="宋体" w:cs="宋体"/>
          <w:b/>
          <w:bCs/>
          <w:color w:val="auto"/>
          <w:w w:val="95"/>
          <w:sz w:val="24"/>
          <w:szCs w:val="24"/>
          <w:highlight w:val="none"/>
        </w:rPr>
        <w:t>作为联合体成员方，负责</w:t>
      </w: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hint="eastAsia" w:ascii="宋体" w:hAnsi="宋体"/>
          <w:color w:val="auto"/>
          <w:sz w:val="24"/>
          <w:szCs w:val="24"/>
          <w:highlight w:val="none"/>
        </w:rPr>
        <w:t>。</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5、本协议书自签署之日起生效，合同履行完毕后自动失效。</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6、本协议书一式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＿份，联合体成员和招标人各执一份。</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注：本联合体提供的投标文件以联合体各方盖章或联合体牵头方的盖章有效，签名以联合体各方的授权代表或联合体牵头方的授权代表有效。</w:t>
      </w:r>
    </w:p>
    <w:p>
      <w:pPr>
        <w:pStyle w:val="81"/>
        <w:spacing w:line="360" w:lineRule="auto"/>
        <w:ind w:firstLine="480" w:firstLineChars="200"/>
        <w:rPr>
          <w:rFonts w:ascii="宋体" w:hAnsi="宋体"/>
          <w:color w:val="auto"/>
          <w:sz w:val="24"/>
          <w:szCs w:val="24"/>
          <w:highlight w:val="none"/>
        </w:rPr>
      </w:pPr>
    </w:p>
    <w:p>
      <w:pPr>
        <w:pStyle w:val="81"/>
        <w:spacing w:line="360" w:lineRule="auto"/>
        <w:ind w:firstLine="480" w:firstLineChars="200"/>
        <w:rPr>
          <w:rFonts w:ascii="宋体" w:hAnsi="宋体"/>
          <w:color w:val="auto"/>
          <w:sz w:val="24"/>
          <w:szCs w:val="24"/>
          <w:highlight w:val="none"/>
        </w:rPr>
      </w:pPr>
    </w:p>
    <w:p>
      <w:pPr>
        <w:pStyle w:val="81"/>
        <w:spacing w:line="360" w:lineRule="auto"/>
        <w:ind w:firstLine="480" w:firstLineChars="200"/>
        <w:rPr>
          <w:rFonts w:ascii="宋体" w:hAnsi="宋体"/>
          <w:color w:val="auto"/>
          <w:sz w:val="24"/>
          <w:szCs w:val="24"/>
          <w:highlight w:val="none"/>
        </w:rPr>
      </w:pP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牵头人名称：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ascii="宋体" w:hAnsi="宋体" w:cs="Arial"/>
          <w:color w:val="auto"/>
          <w:sz w:val="24"/>
          <w:szCs w:val="24"/>
          <w:highlight w:val="none"/>
        </w:rPr>
        <w:t>盖单位公章</w:t>
      </w:r>
      <w:r>
        <w:rPr>
          <w:rFonts w:hint="eastAsia" w:ascii="宋体" w:hAnsi="宋体"/>
          <w:color w:val="auto"/>
          <w:sz w:val="24"/>
          <w:szCs w:val="24"/>
          <w:highlight w:val="none"/>
        </w:rPr>
        <w:t>）</w:t>
      </w: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法定代表人：</w:t>
      </w:r>
      <w:r>
        <w:rPr>
          <w:rFonts w:hint="eastAsia" w:ascii="宋体" w:hAnsi="宋体"/>
          <w:color w:val="auto"/>
          <w:sz w:val="24"/>
          <w:szCs w:val="24"/>
          <w:highlight w:val="none"/>
          <w:u w:val="single"/>
        </w:rPr>
        <w:t xml:space="preserve">         </w:t>
      </w:r>
      <w:r>
        <w:rPr>
          <w:rFonts w:ascii="宋体" w:hAnsi="宋体"/>
          <w:color w:val="auto"/>
          <w:sz w:val="24"/>
          <w:szCs w:val="24"/>
          <w:highlight w:val="none"/>
        </w:rPr>
        <w:t>（</w:t>
      </w:r>
      <w:r>
        <w:rPr>
          <w:rFonts w:ascii="宋体" w:hAnsi="宋体" w:cs="Arial"/>
          <w:color w:val="auto"/>
          <w:sz w:val="24"/>
          <w:szCs w:val="24"/>
          <w:highlight w:val="none"/>
        </w:rPr>
        <w:t>签字或盖章</w:t>
      </w:r>
      <w:r>
        <w:rPr>
          <w:rFonts w:ascii="宋体" w:hAnsi="宋体"/>
          <w:color w:val="auto"/>
          <w:sz w:val="24"/>
          <w:szCs w:val="24"/>
          <w:highlight w:val="none"/>
        </w:rPr>
        <w:t>）</w:t>
      </w:r>
    </w:p>
    <w:p>
      <w:pPr>
        <w:pStyle w:val="81"/>
        <w:spacing w:line="360" w:lineRule="auto"/>
        <w:ind w:firstLine="480" w:firstLineChars="200"/>
        <w:rPr>
          <w:rFonts w:ascii="宋体" w:hAnsi="宋体"/>
          <w:color w:val="auto"/>
          <w:sz w:val="24"/>
          <w:szCs w:val="24"/>
          <w:highlight w:val="none"/>
        </w:rPr>
      </w:pP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成员方名称：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ascii="宋体" w:hAnsi="宋体" w:cs="Arial"/>
          <w:color w:val="auto"/>
          <w:sz w:val="24"/>
          <w:szCs w:val="24"/>
          <w:highlight w:val="none"/>
        </w:rPr>
        <w:t>盖单位公章</w:t>
      </w:r>
      <w:r>
        <w:rPr>
          <w:rFonts w:hint="eastAsia" w:ascii="宋体" w:hAnsi="宋体"/>
          <w:color w:val="auto"/>
          <w:sz w:val="24"/>
          <w:szCs w:val="24"/>
          <w:highlight w:val="none"/>
        </w:rPr>
        <w:t>）</w:t>
      </w: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法定代表人：</w:t>
      </w:r>
      <w:r>
        <w:rPr>
          <w:rFonts w:hint="eastAsia" w:ascii="宋体" w:hAnsi="宋体"/>
          <w:color w:val="auto"/>
          <w:sz w:val="24"/>
          <w:szCs w:val="24"/>
          <w:highlight w:val="none"/>
          <w:u w:val="single"/>
        </w:rPr>
        <w:t xml:space="preserve">         </w:t>
      </w:r>
      <w:r>
        <w:rPr>
          <w:rFonts w:ascii="宋体" w:hAnsi="宋体"/>
          <w:color w:val="auto"/>
          <w:sz w:val="24"/>
          <w:szCs w:val="24"/>
          <w:highlight w:val="none"/>
        </w:rPr>
        <w:t>（</w:t>
      </w:r>
      <w:r>
        <w:rPr>
          <w:rFonts w:ascii="宋体" w:hAnsi="宋体" w:cs="Arial"/>
          <w:color w:val="auto"/>
          <w:sz w:val="24"/>
          <w:szCs w:val="24"/>
          <w:highlight w:val="none"/>
        </w:rPr>
        <w:t>签字或盖章</w:t>
      </w:r>
      <w:r>
        <w:rPr>
          <w:rFonts w:ascii="宋体" w:hAnsi="宋体"/>
          <w:color w:val="auto"/>
          <w:sz w:val="24"/>
          <w:szCs w:val="24"/>
          <w:highlight w:val="none"/>
        </w:rPr>
        <w:t>）</w:t>
      </w:r>
    </w:p>
    <w:p>
      <w:pPr>
        <w:pStyle w:val="81"/>
        <w:spacing w:line="360" w:lineRule="auto"/>
        <w:ind w:firstLine="480" w:firstLineChars="200"/>
        <w:rPr>
          <w:rFonts w:ascii="宋体" w:hAnsi="宋体"/>
          <w:color w:val="auto"/>
          <w:sz w:val="24"/>
          <w:szCs w:val="24"/>
          <w:highlight w:val="none"/>
        </w:rPr>
      </w:pPr>
    </w:p>
    <w:p>
      <w:pPr>
        <w:pStyle w:val="81"/>
        <w:spacing w:line="360" w:lineRule="auto"/>
        <w:ind w:firstLine="480" w:firstLineChars="200"/>
        <w:rPr>
          <w:rFonts w:ascii="宋体" w:hAnsi="宋体"/>
          <w:color w:val="auto"/>
          <w:sz w:val="24"/>
          <w:szCs w:val="24"/>
          <w:highlight w:val="none"/>
          <w:u w:val="single"/>
        </w:rPr>
      </w:pPr>
    </w:p>
    <w:p>
      <w:pPr>
        <w:pStyle w:val="81"/>
        <w:spacing w:line="360" w:lineRule="auto"/>
        <w:ind w:firstLine="5760" w:firstLineChars="2400"/>
        <w:rPr>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rPr>
          <w:rFonts w:asciiTheme="minorEastAsia" w:hAnsiTheme="minorEastAsia" w:eastAsiaTheme="minorEastAsia"/>
          <w:b/>
          <w:bCs/>
          <w:sz w:val="36"/>
          <w:szCs w:val="36"/>
        </w:rPr>
      </w:pPr>
    </w:p>
    <w:p>
      <w:pPr>
        <w:widowControl/>
        <w:jc w:val="left"/>
        <w:rPr>
          <w:rFonts w:asciiTheme="minorEastAsia" w:hAnsiTheme="minorEastAsia" w:eastAsiaTheme="minorEastAsia"/>
          <w:b/>
          <w:bCs/>
          <w:sz w:val="24"/>
          <w:szCs w:val="24"/>
          <w:lang w:val="zh-CN"/>
        </w:rPr>
      </w:pPr>
    </w:p>
    <w:p>
      <w:pPr>
        <w:widowControl/>
        <w:jc w:val="center"/>
        <w:rPr>
          <w:rFonts w:ascii="宋体" w:hAnsi="宋体" w:cs="宋体"/>
          <w:b/>
          <w:bCs/>
          <w:sz w:val="36"/>
          <w:szCs w:val="36"/>
        </w:rPr>
      </w:pPr>
      <w:r>
        <w:rPr>
          <w:rFonts w:hint="eastAsia" w:ascii="宋体" w:hAnsi="宋体" w:cs="宋体"/>
          <w:b/>
          <w:bCs/>
          <w:sz w:val="36"/>
          <w:szCs w:val="36"/>
        </w:rPr>
        <w:t>商务技术文件</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目录</w:t>
      </w:r>
    </w:p>
    <w:p>
      <w:pPr>
        <w:pStyle w:val="12"/>
        <w:ind w:left="426" w:firstLine="486"/>
      </w:pPr>
    </w:p>
    <w:p>
      <w:pPr>
        <w:pStyle w:val="52"/>
        <w:numPr>
          <w:ilvl w:val="0"/>
          <w:numId w:val="19"/>
        </w:numPr>
        <w:spacing w:before="0" w:line="336" w:lineRule="auto"/>
        <w:ind w:firstLine="480"/>
        <w:rPr>
          <w:rFonts w:ascii="宋体" w:hAnsi="宋体" w:cs="宋体"/>
        </w:rPr>
      </w:pPr>
      <w:r>
        <w:rPr>
          <w:rFonts w:hint="eastAsia" w:ascii="宋体" w:hAnsi="宋体" w:cs="宋体"/>
        </w:rPr>
        <w:t>技术响应及建议表（格式见附件）；</w:t>
      </w:r>
    </w:p>
    <w:p>
      <w:pPr>
        <w:pStyle w:val="52"/>
        <w:numPr>
          <w:ilvl w:val="0"/>
          <w:numId w:val="19"/>
        </w:numPr>
        <w:spacing w:before="0" w:line="336" w:lineRule="auto"/>
        <w:ind w:firstLine="480"/>
        <w:rPr>
          <w:rFonts w:ascii="宋体" w:hAnsi="宋体" w:cs="宋体"/>
        </w:rPr>
      </w:pPr>
      <w:r>
        <w:rPr>
          <w:rFonts w:hint="eastAsia" w:ascii="宋体" w:hAnsi="宋体" w:cs="宋体"/>
        </w:rPr>
        <w:t>废标项证明材料（即“★”的证明材料）；</w:t>
      </w:r>
    </w:p>
    <w:p>
      <w:pPr>
        <w:pStyle w:val="52"/>
        <w:numPr>
          <w:ilvl w:val="0"/>
          <w:numId w:val="19"/>
        </w:numPr>
        <w:spacing w:before="0" w:line="336" w:lineRule="auto"/>
        <w:ind w:firstLine="480"/>
        <w:rPr>
          <w:rFonts w:ascii="宋体" w:hAnsi="宋体" w:cs="宋体"/>
        </w:rPr>
      </w:pPr>
      <w:r>
        <w:rPr>
          <w:rFonts w:hint="eastAsia" w:ascii="宋体" w:hAnsi="宋体" w:cs="宋体"/>
        </w:rPr>
        <w:t xml:space="preserve">供应商认为需要的其他文件资料。 </w:t>
      </w:r>
    </w:p>
    <w:p>
      <w:pPr>
        <w:pStyle w:val="52"/>
        <w:tabs>
          <w:tab w:val="left" w:pos="0"/>
        </w:tabs>
        <w:spacing w:before="0"/>
        <w:ind w:firstLine="482"/>
        <w:rPr>
          <w:rFonts w:ascii="宋体" w:hAnsi="宋体" w:cs="宋体"/>
        </w:rPr>
      </w:pPr>
      <w:r>
        <w:rPr>
          <w:rFonts w:hint="eastAsia" w:ascii="宋体" w:hAnsi="宋体" w:cs="宋体"/>
          <w:b/>
          <w:bCs/>
        </w:rPr>
        <w:t>注：若联合体投标的，商务技术文件由联合体牵头人在规定位置盖章，投标人全称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pStyle w:val="2"/>
      </w:pPr>
    </w:p>
    <w:p>
      <w:pPr>
        <w:pStyle w:val="2"/>
      </w:pPr>
    </w:p>
    <w:p>
      <w:pPr>
        <w:pStyle w:val="15"/>
        <w:spacing w:line="500" w:lineRule="exact"/>
        <w:ind w:firstLine="480" w:firstLineChars="200"/>
        <w:rPr>
          <w:rFonts w:cs="Times New Roman"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pStyle w:val="12"/>
        <w:ind w:firstLine="566"/>
        <w:rPr>
          <w:rFonts w:cs="Times New Roman" w:asciiTheme="minorEastAsia" w:hAnsiTheme="minorEastAsia" w:eastAsiaTheme="minorEastAsia"/>
          <w:sz w:val="28"/>
          <w:szCs w:val="28"/>
        </w:rPr>
      </w:pPr>
    </w:p>
    <w:p>
      <w:pPr>
        <w:pStyle w:val="12"/>
        <w:ind w:firstLine="566"/>
        <w:rPr>
          <w:rFonts w:cs="Times New Roman" w:asciiTheme="minorEastAsia" w:hAnsiTheme="minorEastAsia" w:eastAsiaTheme="minorEastAsia"/>
          <w:sz w:val="28"/>
          <w:szCs w:val="28"/>
        </w:rPr>
      </w:pPr>
    </w:p>
    <w:p>
      <w:pPr>
        <w:rPr>
          <w:rFonts w:asciiTheme="minorEastAsia" w:hAnsiTheme="minorEastAsia" w:eastAsiaTheme="minorEastAsia"/>
          <w:sz w:val="28"/>
          <w:szCs w:val="28"/>
        </w:rPr>
      </w:pPr>
      <w:r>
        <w:rPr>
          <w:rFonts w:asciiTheme="minorEastAsia" w:hAnsiTheme="minorEastAsia" w:eastAsiaTheme="minorEastAsia"/>
          <w:sz w:val="28"/>
          <w:szCs w:val="28"/>
        </w:rPr>
        <w:br w:type="page"/>
      </w:r>
    </w:p>
    <w:p>
      <w:pPr>
        <w:rPr>
          <w:rFonts w:ascii="宋体" w:hAnsi="宋体" w:cs="宋体"/>
          <w:b/>
          <w:bCs/>
          <w:sz w:val="24"/>
          <w:szCs w:val="24"/>
          <w:lang w:val="zh-CN"/>
        </w:rPr>
      </w:pPr>
      <w:r>
        <w:rPr>
          <w:rFonts w:hint="eastAsia" w:ascii="宋体" w:hAnsi="宋体" w:cs="宋体"/>
          <w:b/>
          <w:bCs/>
          <w:sz w:val="24"/>
          <w:szCs w:val="24"/>
          <w:lang w:val="zh-CN"/>
        </w:rPr>
        <w:t>附件</w:t>
      </w:r>
      <w:r>
        <w:rPr>
          <w:rFonts w:hint="eastAsia" w:ascii="宋体" w:hAnsi="宋体" w:cs="宋体"/>
          <w:b/>
          <w:bCs/>
          <w:sz w:val="24"/>
          <w:szCs w:val="24"/>
          <w:lang w:val="en-US" w:eastAsia="zh-CN"/>
        </w:rPr>
        <w:t>四</w:t>
      </w:r>
      <w:r>
        <w:rPr>
          <w:rFonts w:hint="eastAsia" w:ascii="宋体" w:hAnsi="宋体" w:cs="宋体"/>
          <w:b/>
          <w:bCs/>
          <w:sz w:val="24"/>
          <w:szCs w:val="24"/>
          <w:lang w:val="zh-CN"/>
        </w:rPr>
        <w:t>：</w:t>
      </w:r>
    </w:p>
    <w:p>
      <w:pPr>
        <w:jc w:val="center"/>
        <w:outlineLvl w:val="0"/>
        <w:rPr>
          <w:rFonts w:ascii="宋体" w:hAnsi="宋体" w:cs="宋体"/>
          <w:b/>
          <w:bCs/>
          <w:sz w:val="28"/>
          <w:szCs w:val="28"/>
        </w:rPr>
      </w:pPr>
      <w:bookmarkStart w:id="105" w:name="_Toc13778"/>
      <w:bookmarkStart w:id="106" w:name="_Toc15735"/>
      <w:bookmarkStart w:id="107" w:name="_Toc16317"/>
      <w:bookmarkStart w:id="108" w:name="_Toc1271"/>
      <w:r>
        <w:rPr>
          <w:rFonts w:hint="eastAsia" w:ascii="宋体" w:hAnsi="宋体" w:cs="宋体"/>
          <w:b/>
          <w:bCs/>
          <w:sz w:val="28"/>
          <w:szCs w:val="28"/>
        </w:rPr>
        <w:t>技术响应及建议表</w:t>
      </w:r>
      <w:bookmarkEnd w:id="105"/>
      <w:bookmarkEnd w:id="106"/>
      <w:bookmarkEnd w:id="107"/>
      <w:bookmarkEnd w:id="108"/>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1440" w:type="dxa"/>
            <w:vAlign w:val="center"/>
          </w:tcPr>
          <w:p>
            <w:pPr>
              <w:snapToGrid w:val="0"/>
              <w:spacing w:before="50" w:after="50"/>
              <w:jc w:val="center"/>
              <w:rPr>
                <w:rFonts w:ascii="宋体" w:hAnsi="宋体" w:cs="宋体"/>
                <w:sz w:val="24"/>
              </w:rPr>
            </w:pPr>
            <w:r>
              <w:rPr>
                <w:rFonts w:hint="eastAsia" w:ascii="宋体" w:hAnsi="宋体" w:cs="宋体"/>
                <w:sz w:val="24"/>
              </w:rPr>
              <w:t>货物名称</w:t>
            </w:r>
          </w:p>
        </w:tc>
        <w:tc>
          <w:tcPr>
            <w:tcW w:w="1980" w:type="dxa"/>
            <w:vAlign w:val="center"/>
          </w:tcPr>
          <w:p>
            <w:pPr>
              <w:snapToGrid w:val="0"/>
              <w:spacing w:before="50" w:after="50"/>
              <w:jc w:val="center"/>
              <w:rPr>
                <w:rFonts w:ascii="宋体" w:hAnsi="宋体" w:cs="宋体"/>
                <w:sz w:val="24"/>
              </w:rPr>
            </w:pPr>
            <w:r>
              <w:rPr>
                <w:rFonts w:hint="eastAsia" w:ascii="宋体" w:hAnsi="宋体" w:cs="宋体"/>
                <w:sz w:val="24"/>
              </w:rPr>
              <w:t>询价文件要求</w:t>
            </w:r>
          </w:p>
        </w:tc>
        <w:tc>
          <w:tcPr>
            <w:tcW w:w="2520" w:type="dxa"/>
            <w:vAlign w:val="center"/>
          </w:tcPr>
          <w:p>
            <w:pPr>
              <w:snapToGrid w:val="0"/>
              <w:spacing w:before="50" w:after="50"/>
              <w:jc w:val="center"/>
              <w:rPr>
                <w:rFonts w:ascii="宋体" w:hAnsi="宋体" w:cs="宋体"/>
                <w:sz w:val="24"/>
              </w:rPr>
            </w:pPr>
            <w:r>
              <w:rPr>
                <w:rFonts w:hint="eastAsia" w:ascii="宋体" w:hAnsi="宋体" w:cs="宋体"/>
                <w:sz w:val="24"/>
              </w:rPr>
              <w:t>响应文件响应</w:t>
            </w:r>
          </w:p>
        </w:tc>
        <w:tc>
          <w:tcPr>
            <w:tcW w:w="1953" w:type="dxa"/>
            <w:vAlign w:val="center"/>
          </w:tcPr>
          <w:p>
            <w:pPr>
              <w:snapToGrid w:val="0"/>
              <w:spacing w:before="50" w:after="50"/>
              <w:jc w:val="center"/>
              <w:rPr>
                <w:rFonts w:ascii="宋体" w:hAnsi="宋体" w:cs="宋体"/>
                <w:sz w:val="24"/>
              </w:rPr>
            </w:pPr>
            <w:r>
              <w:rPr>
                <w:rFonts w:hint="eastAsia" w:ascii="宋体" w:hAnsi="宋体" w:cs="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hAnsi="宋体" w:cs="宋体"/>
                <w:sz w:val="24"/>
              </w:rPr>
            </w:pPr>
            <w:r>
              <w:rPr>
                <w:rFonts w:hint="eastAsia" w:ascii="宋体" w:hAnsi="宋体" w:cs="宋体"/>
                <w:sz w:val="24"/>
              </w:rPr>
              <w:t>响应建议</w:t>
            </w:r>
          </w:p>
        </w:tc>
        <w:tc>
          <w:tcPr>
            <w:tcW w:w="6453" w:type="dxa"/>
            <w:gridSpan w:val="3"/>
            <w:vAlign w:val="center"/>
          </w:tcPr>
          <w:p>
            <w:pPr>
              <w:spacing w:line="360" w:lineRule="auto"/>
              <w:jc w:val="center"/>
              <w:rPr>
                <w:rFonts w:ascii="宋体" w:hAnsi="宋体" w:cs="宋体"/>
                <w:sz w:val="24"/>
              </w:rPr>
            </w:pPr>
          </w:p>
        </w:tc>
      </w:tr>
    </w:tbl>
    <w:p>
      <w:pPr>
        <w:snapToGrid w:val="0"/>
        <w:spacing w:line="360" w:lineRule="auto"/>
        <w:rPr>
          <w:rFonts w:ascii="宋体" w:hAnsi="宋体" w:cs="宋体"/>
          <w:sz w:val="24"/>
        </w:rPr>
      </w:pPr>
    </w:p>
    <w:p>
      <w:pPr>
        <w:pStyle w:val="15"/>
        <w:spacing w:line="360" w:lineRule="auto"/>
        <w:rPr>
          <w:rFonts w:hAnsi="宋体"/>
          <w:sz w:val="24"/>
        </w:rPr>
      </w:pPr>
      <w:r>
        <w:rPr>
          <w:rFonts w:hint="eastAsia" w:hAnsi="宋体"/>
          <w:sz w:val="24"/>
        </w:rPr>
        <w:t>注：名称可基于项目清单根据供应商实际情况调整。</w:t>
      </w:r>
    </w:p>
    <w:p>
      <w:pPr>
        <w:rPr>
          <w:rFonts w:ascii="宋体" w:hAnsi="宋体" w:cs="宋体"/>
          <w:sz w:val="24"/>
        </w:rPr>
      </w:pPr>
    </w:p>
    <w:p>
      <w:pPr>
        <w:pStyle w:val="12"/>
      </w:pPr>
    </w:p>
    <w:p>
      <w:pPr>
        <w:pStyle w:val="12"/>
      </w:pPr>
    </w:p>
    <w:p>
      <w:pPr>
        <w:snapToGrid w:val="0"/>
        <w:spacing w:before="156" w:beforeLines="50"/>
        <w:rPr>
          <w:rFonts w:ascii="宋体" w:hAnsi="宋体" w:cs="宋体"/>
          <w:sz w:val="24"/>
          <w:szCs w:val="24"/>
        </w:rPr>
      </w:pP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法定代表人签名（或签名章）：</w:t>
      </w: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日期：</w:t>
      </w:r>
    </w:p>
    <w:p>
      <w:pPr>
        <w:spacing w:line="360" w:lineRule="auto"/>
        <w:ind w:left="3600" w:leftChars="1800" w:firstLine="480" w:firstLineChars="200"/>
        <w:rPr>
          <w:rFonts w:asciiTheme="minorEastAsia" w:hAnsiTheme="minorEastAsia" w:eastAsiaTheme="minorEastAsia"/>
          <w:spacing w:val="20"/>
          <w:sz w:val="30"/>
          <w:szCs w:val="30"/>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s="宋体"/>
          <w:sz w:val="24"/>
          <w:szCs w:val="24"/>
        </w:rPr>
        <w:t>供应商全称（公章）：</w:t>
      </w:r>
    </w:p>
    <w:p>
      <w:pPr>
        <w:spacing w:line="360" w:lineRule="auto"/>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报价文件</w:t>
      </w:r>
    </w:p>
    <w:p>
      <w:pPr>
        <w:spacing w:line="360" w:lineRule="auto"/>
        <w:jc w:val="center"/>
        <w:rPr>
          <w:rFonts w:asciiTheme="minorEastAsia" w:hAnsiTheme="minorEastAsia" w:eastAsiaTheme="minorEastAsia"/>
          <w:b/>
          <w:bCs/>
          <w:sz w:val="36"/>
          <w:szCs w:val="36"/>
        </w:rPr>
      </w:pPr>
    </w:p>
    <w:p>
      <w:pPr>
        <w:spacing w:line="360" w:lineRule="auto"/>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目录</w:t>
      </w:r>
    </w:p>
    <w:p>
      <w:pPr>
        <w:pStyle w:val="12"/>
        <w:ind w:firstLine="723"/>
        <w:rPr>
          <w:rFonts w:cs="Times New Roman" w:asciiTheme="minorEastAsia" w:hAnsiTheme="minorEastAsia" w:eastAsiaTheme="minorEastAsia"/>
          <w:b/>
          <w:bCs/>
          <w:sz w:val="36"/>
          <w:szCs w:val="36"/>
        </w:rPr>
      </w:pP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）报价函；</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）报价一览表；</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）报价明细表。</w:t>
      </w:r>
    </w:p>
    <w:p>
      <w:pPr>
        <w:pStyle w:val="52"/>
        <w:tabs>
          <w:tab w:val="left" w:pos="0"/>
        </w:tabs>
        <w:spacing w:before="0"/>
        <w:ind w:firstLine="602" w:firstLineChars="250"/>
        <w:rPr>
          <w:rFonts w:ascii="宋体" w:hAnsi="宋体" w:cs="宋体"/>
          <w:b/>
          <w:bCs/>
        </w:rPr>
      </w:pPr>
      <w:r>
        <w:rPr>
          <w:rFonts w:hint="eastAsia" w:ascii="宋体" w:hAnsi="宋体" w:cs="宋体"/>
          <w:b/>
          <w:bCs/>
        </w:rPr>
        <w:t>注：若联合体投标的，报价文件由联合体牵头人在规定位置盖章，投标人全称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b/>
          <w:bCs/>
          <w:lang w:val="zh-CN"/>
        </w:rPr>
      </w:pPr>
      <w:bookmarkStart w:id="109" w:name="_Toc3094"/>
      <w:r>
        <w:rPr>
          <w:rFonts w:hint="eastAsia" w:cs="宋体" w:asciiTheme="minorEastAsia" w:hAnsiTheme="minorEastAsia" w:eastAsiaTheme="minorEastAsia"/>
          <w:b/>
          <w:bCs/>
          <w:sz w:val="24"/>
          <w:szCs w:val="24"/>
          <w:lang w:val="zh-CN"/>
        </w:rPr>
        <w:t>附件</w:t>
      </w:r>
      <w:bookmarkStart w:id="110" w:name="_Toc130094924"/>
      <w:bookmarkStart w:id="111" w:name="_Toc98731770"/>
      <w:r>
        <w:rPr>
          <w:rFonts w:hint="eastAsia" w:cs="宋体" w:asciiTheme="minorEastAsia" w:hAnsiTheme="minorEastAsia" w:eastAsiaTheme="minorEastAsia"/>
          <w:b/>
          <w:bCs/>
          <w:sz w:val="24"/>
          <w:szCs w:val="24"/>
          <w:lang w:val="en-US" w:eastAsia="zh-CN"/>
        </w:rPr>
        <w:t>五</w:t>
      </w:r>
      <w:r>
        <w:rPr>
          <w:rFonts w:hint="eastAsia" w:cs="宋体" w:asciiTheme="minorEastAsia" w:hAnsiTheme="minorEastAsia" w:eastAsiaTheme="minorEastAsia"/>
          <w:b/>
          <w:bCs/>
          <w:sz w:val="24"/>
          <w:szCs w:val="24"/>
        </w:rPr>
        <w:t>：</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报价函</w:t>
      </w:r>
      <w:bookmarkEnd w:id="109"/>
      <w:bookmarkEnd w:id="110"/>
      <w:bookmarkEnd w:id="111"/>
    </w:p>
    <w:p>
      <w:pPr>
        <w:spacing w:line="360" w:lineRule="auto"/>
        <w:ind w:firstLine="480" w:firstLineChars="200"/>
        <w:rPr>
          <w:rFonts w:asciiTheme="minorEastAsia" w:hAnsiTheme="minorEastAsia" w:eastAsiaTheme="minorEastAsia"/>
          <w:sz w:val="24"/>
          <w:szCs w:val="24"/>
          <w:u w:val="single"/>
        </w:rPr>
      </w:pP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绍兴市上虞</w:t>
      </w:r>
      <w:r>
        <w:rPr>
          <w:rFonts w:hint="eastAsia" w:cs="宋体" w:asciiTheme="minorEastAsia" w:hAnsiTheme="minorEastAsia" w:eastAsiaTheme="minorEastAsia"/>
          <w:sz w:val="24"/>
          <w:szCs w:val="24"/>
          <w:lang w:val="en-US" w:eastAsia="zh-CN"/>
        </w:rPr>
        <w:t>城市建设集团</w:t>
      </w:r>
      <w:r>
        <w:rPr>
          <w:rFonts w:hint="eastAsia" w:cs="宋体" w:asciiTheme="minorEastAsia" w:hAnsiTheme="minorEastAsia" w:eastAsiaTheme="minorEastAsia"/>
          <w:sz w:val="24"/>
          <w:szCs w:val="24"/>
          <w:lang w:eastAsia="zh-CN"/>
        </w:rPr>
        <w:t>有限公司</w:t>
      </w:r>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绍兴明晨建设项目管理有限公司：</w:t>
      </w:r>
    </w:p>
    <w:p>
      <w:pPr>
        <w:spacing w:line="360" w:lineRule="auto"/>
        <w:ind w:firstLine="48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我单位认真研究了关于的询价文件，包括修改文件（如有的话）以及全部参考资料和有关附件。我们完全理解并接受询价文件的各项规定和要求，对询价文件的合理性、合法性不再有异议。如询价文件前后有矛盾的，我方完全同意按贵方的理解处理。我单位承诺：</w:t>
      </w:r>
    </w:p>
    <w:p>
      <w:pPr>
        <w:spacing w:line="360" w:lineRule="auto"/>
        <w:ind w:firstLine="480" w:firstLineChars="240"/>
        <w:rPr>
          <w:rFonts w:asciiTheme="minorEastAsia" w:hAnsiTheme="minorEastAsia" w:eastAsiaTheme="minorEastAsia"/>
          <w:sz w:val="24"/>
          <w:szCs w:val="24"/>
        </w:rPr>
      </w:pPr>
      <w:r>
        <w:rPr>
          <w:rFonts w:asciiTheme="minorEastAsia" w:hAnsiTheme="minorEastAsia" w:eastAsiaTheme="minorEastAsia"/>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、一旦我单位中标，我单位愿意承接报价一览表中所列的技术服务，供货期限：</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、我单位同意提供按照采购人的可能要求与其投标有关的一切数据和资料，完全理解采购人不一定要接受最低价者作为成交供应商。</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、一旦我单位中标，我们保证按照询价文件的要求，完成服务。</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、如果我单位中标，我方将按照要求提交履约保证金，严格履行合同义务。</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、除非另行达成协议并生效，你方的成交通知书和本询价函将构成约束你我双方的合同。</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、我单位承诺，一旦发生询价文件第二部分第</w:t>
      </w:r>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条规定情形之一的，承担该条款约定的责任。</w:t>
      </w:r>
    </w:p>
    <w:p>
      <w:pPr>
        <w:pStyle w:val="15"/>
        <w:snapToGrid w:val="0"/>
        <w:spacing w:line="360" w:lineRule="auto"/>
        <w:ind w:left="48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地址：                             邮编：</w:t>
      </w:r>
    </w:p>
    <w:p>
      <w:pPr>
        <w:spacing w:line="360" w:lineRule="auto"/>
        <w:ind w:firstLine="480" w:firstLineChars="20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电话：                             传真：</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供应商代表姓名：                   职务：</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供应商名称：</w:t>
      </w:r>
      <w:r>
        <w:rPr>
          <w:rFonts w:hint="eastAsia" w:cs="宋体" w:asciiTheme="minorEastAsia" w:hAnsiTheme="minorEastAsia" w:eastAsiaTheme="minorEastAsia"/>
          <w:sz w:val="24"/>
          <w:szCs w:val="24"/>
          <w:u w:val="single"/>
        </w:rPr>
        <w:t>　　　</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（公章）：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法定代表人签名（或签名章）：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日期：</w:t>
      </w:r>
    </w:p>
    <w:p>
      <w:pPr>
        <w:spacing w:line="360" w:lineRule="auto"/>
        <w:ind w:firstLine="5280" w:firstLineChars="2200"/>
        <w:rPr>
          <w:rFonts w:asciiTheme="minorEastAsia" w:hAnsiTheme="minorEastAsia" w:eastAsiaTheme="minorEastAsia"/>
          <w:sz w:val="24"/>
          <w:szCs w:val="24"/>
        </w:rPr>
      </w:pPr>
    </w:p>
    <w:p>
      <w:pPr>
        <w:rPr>
          <w:rFonts w:asciiTheme="minorEastAsia" w:hAnsiTheme="minorEastAsia" w:eastAsiaTheme="minorEastAsia"/>
          <w:sz w:val="24"/>
          <w:szCs w:val="24"/>
          <w:lang w:val="zh-CN"/>
        </w:rPr>
      </w:pPr>
      <w:bookmarkStart w:id="112" w:name="_Toc12011"/>
      <w:r>
        <w:rPr>
          <w:rFonts w:asciiTheme="minorEastAsia" w:hAnsiTheme="minorEastAsia" w:eastAsiaTheme="minorEastAsia"/>
          <w:sz w:val="24"/>
          <w:szCs w:val="24"/>
          <w:lang w:val="zh-CN"/>
        </w:rPr>
        <w:br w:type="page"/>
      </w:r>
    </w:p>
    <w:p>
      <w:pPr>
        <w:rPr>
          <w:rFonts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lang w:val="zh-CN"/>
        </w:rPr>
        <w:t>附件</w:t>
      </w:r>
      <w:bookmarkStart w:id="113" w:name="_Toc130094925"/>
      <w:bookmarkStart w:id="114" w:name="_Toc98731771"/>
      <w:r>
        <w:rPr>
          <w:rFonts w:hint="eastAsia" w:cs="宋体" w:asciiTheme="minorEastAsia" w:hAnsiTheme="minorEastAsia" w:eastAsiaTheme="minorEastAsia"/>
          <w:b/>
          <w:bCs/>
          <w:sz w:val="24"/>
          <w:szCs w:val="24"/>
          <w:lang w:val="en-US" w:eastAsia="zh-CN"/>
        </w:rPr>
        <w:t>六</w:t>
      </w:r>
      <w:r>
        <w:rPr>
          <w:rFonts w:hint="eastAsia" w:cs="宋体" w:asciiTheme="minorEastAsia" w:hAnsiTheme="minorEastAsia" w:eastAsiaTheme="minorEastAsia"/>
          <w:b/>
          <w:bCs/>
          <w:sz w:val="24"/>
          <w:szCs w:val="24"/>
        </w:rPr>
        <w:t>：</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报价一览表</w:t>
      </w:r>
      <w:bookmarkEnd w:id="112"/>
      <w:bookmarkEnd w:id="113"/>
      <w:bookmarkEnd w:id="114"/>
    </w:p>
    <w:p>
      <w:pPr>
        <w:pStyle w:val="15"/>
        <w:spacing w:line="360" w:lineRule="auto"/>
        <w:rPr>
          <w:rFonts w:cs="Times New Roman"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采购编号：</w:t>
      </w:r>
    </w:p>
    <w:tbl>
      <w:tblPr>
        <w:tblStyle w:val="2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79" w:hRule="atLeast"/>
          <w:jc w:val="center"/>
        </w:trPr>
        <w:tc>
          <w:tcPr>
            <w:tcW w:w="2089" w:type="dxa"/>
            <w:vAlign w:val="center"/>
          </w:tcPr>
          <w:p>
            <w:pPr>
              <w:pStyle w:val="15"/>
              <w:spacing w:line="360" w:lineRule="auto"/>
              <w:jc w:val="center"/>
              <w:rPr>
                <w:rFonts w:cs="Times New Roman" w:asciiTheme="minorEastAsia" w:hAnsiTheme="minorEastAsia" w:eastAsiaTheme="minorEastAsia"/>
                <w:b/>
                <w:bCs/>
                <w:sz w:val="24"/>
                <w:szCs w:val="24"/>
              </w:rPr>
            </w:pPr>
            <w:r>
              <w:rPr>
                <w:rFonts w:hint="eastAsia" w:asciiTheme="minorEastAsia" w:hAnsiTheme="minorEastAsia" w:eastAsiaTheme="minorEastAsia"/>
                <w:b/>
                <w:bCs/>
                <w:sz w:val="24"/>
                <w:szCs w:val="24"/>
              </w:rPr>
              <w:t>投标总价</w:t>
            </w:r>
          </w:p>
        </w:tc>
        <w:tc>
          <w:tcPr>
            <w:tcW w:w="6707" w:type="dxa"/>
            <w:vAlign w:val="center"/>
          </w:tcPr>
          <w:p>
            <w:pPr>
              <w:pStyle w:val="15"/>
              <w:spacing w:line="360" w:lineRule="auto"/>
              <w:jc w:val="center"/>
              <w:rPr>
                <w:rFonts w:cs="Times New Roman" w:asciiTheme="minorEastAsia" w:hAnsiTheme="minorEastAsia" w:eastAsiaTheme="minorEastAsia"/>
                <w:b/>
                <w:bCs/>
                <w:sz w:val="24"/>
                <w:szCs w:val="24"/>
              </w:rPr>
            </w:pPr>
            <w:r>
              <w:rPr>
                <w:rFonts w:hint="eastAsia" w:asciiTheme="minorEastAsia" w:hAnsiTheme="minorEastAsia" w:eastAsiaTheme="minorEastAsia"/>
                <w:b/>
                <w:bCs/>
                <w:sz w:val="24"/>
                <w:szCs w:val="24"/>
              </w:rPr>
              <w:t>大写：</w:t>
            </w:r>
            <w:r>
              <w:rPr>
                <w:rFonts w:hint="eastAsia" w:asciiTheme="minorEastAsia" w:hAnsiTheme="minorEastAsia" w:eastAsiaTheme="minorEastAsia"/>
                <w:b/>
                <w:bCs/>
                <w:sz w:val="24"/>
                <w:szCs w:val="24"/>
                <w:u w:val="single"/>
              </w:rPr>
              <w:t>　　　　</w:t>
            </w:r>
            <w:r>
              <w:rPr>
                <w:rFonts w:hint="eastAsia" w:asciiTheme="minorEastAsia" w:hAnsiTheme="minorEastAsia" w:eastAsiaTheme="minorEastAsia"/>
                <w:b/>
                <w:bCs/>
                <w:sz w:val="24"/>
                <w:szCs w:val="24"/>
              </w:rPr>
              <w:t>元（小写：</w:t>
            </w:r>
            <w:r>
              <w:rPr>
                <w:rFonts w:hint="eastAsia" w:asciiTheme="minorEastAsia" w:hAnsiTheme="minorEastAsia" w:eastAsiaTheme="minorEastAsia"/>
                <w:b/>
                <w:bCs/>
                <w:sz w:val="24"/>
                <w:szCs w:val="24"/>
                <w:u w:val="single"/>
              </w:rPr>
              <w:t>　　　　</w:t>
            </w:r>
            <w:r>
              <w:rPr>
                <w:rFonts w:hint="eastAsia" w:asciiTheme="minorEastAsia" w:hAnsiTheme="minorEastAsia" w:eastAsiaTheme="minor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5"/>
              <w:spacing w:line="360" w:lineRule="auto"/>
              <w:ind w:firstLine="480" w:firstLineChars="200"/>
              <w:rPr>
                <w:rFonts w:cs="Times New Roman" w:asciiTheme="minorEastAsia" w:hAnsiTheme="minorEastAsia" w:eastAsiaTheme="minorEastAsia"/>
                <w:b/>
                <w:bCs/>
                <w:sz w:val="24"/>
                <w:szCs w:val="24"/>
              </w:rPr>
            </w:pPr>
            <w:r>
              <w:rPr>
                <w:rFonts w:hint="eastAsia" w:hAnsi="宋体"/>
                <w:bCs/>
                <w:sz w:val="24"/>
              </w:rPr>
              <w:t>投标报价统一为人民币计价，是指完成本项目的全部费用，包括但不仅限于项目所需设备的设计、制造、供货、发货、配件费、材料费、安装费、调试费、指导安装、保险、人工费、管理费、税费、运费、规费、现场勘查费和交付使用、设备在本文规定的质保期内的维修保养，以及为达到与原有设备平台无缝对接使设备能安全、满意的运行设施等，并应保证设备在各方面均能达到正常运行要求的费用，以及招标代理费和其它一切不可预见和实际所需的一切其他费用，如有漏报，视同已包含在其报价中。</w:t>
            </w:r>
          </w:p>
        </w:tc>
      </w:tr>
    </w:tbl>
    <w:p>
      <w:pPr>
        <w:pStyle w:val="15"/>
        <w:spacing w:line="360" w:lineRule="auto"/>
        <w:rPr>
          <w:rFonts w:cs="Times New Roman" w:asciiTheme="minorEastAsia" w:hAnsiTheme="minorEastAsia" w:eastAsiaTheme="minorEastAsia"/>
          <w:sz w:val="24"/>
          <w:szCs w:val="24"/>
        </w:rPr>
      </w:pPr>
    </w:p>
    <w:p>
      <w:pPr>
        <w:pStyle w:val="15"/>
        <w:spacing w:line="360" w:lineRule="auto"/>
        <w:rPr>
          <w:rFonts w:cs="Times New Roman" w:asciiTheme="minorEastAsia" w:hAnsiTheme="minorEastAsia" w:eastAsiaTheme="minorEastAsia"/>
          <w:sz w:val="24"/>
          <w:szCs w:val="24"/>
        </w:rPr>
      </w:pPr>
    </w:p>
    <w:p>
      <w:pPr>
        <w:pStyle w:val="15"/>
        <w:spacing w:line="360" w:lineRule="auto"/>
        <w:rPr>
          <w:rFonts w:cs="Times New Roman" w:asciiTheme="minorEastAsia" w:hAnsiTheme="minorEastAsia" w:eastAsiaTheme="minorEastAsia"/>
          <w:sz w:val="24"/>
          <w:szCs w:val="24"/>
        </w:rPr>
      </w:pP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法定代表人签名（或签名章）：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日期：</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供应商全称（公章）：</w:t>
      </w: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pacing w:line="360" w:lineRule="auto"/>
        <w:jc w:val="left"/>
        <w:rPr>
          <w:rFonts w:asciiTheme="minorEastAsia" w:hAnsiTheme="minorEastAsia" w:eastAsiaTheme="minorEastAsia"/>
          <w:b/>
          <w:bCs/>
          <w:sz w:val="24"/>
          <w:szCs w:val="24"/>
          <w:lang w:val="zh-CN"/>
        </w:rPr>
      </w:pPr>
      <w:r>
        <w:rPr>
          <w:rFonts w:asciiTheme="minorEastAsia" w:hAnsiTheme="minorEastAsia" w:eastAsiaTheme="minorEastAsia"/>
        </w:rPr>
        <w:br w:type="page"/>
      </w:r>
      <w:bookmarkStart w:id="115" w:name="_Toc7196"/>
      <w:r>
        <w:rPr>
          <w:rFonts w:hint="eastAsia" w:cs="宋体" w:asciiTheme="minorEastAsia" w:hAnsiTheme="minorEastAsia" w:eastAsiaTheme="minorEastAsia"/>
          <w:b/>
          <w:bCs/>
          <w:sz w:val="24"/>
          <w:szCs w:val="24"/>
          <w:lang w:val="zh-CN"/>
        </w:rPr>
        <w:t>附件</w:t>
      </w:r>
      <w:r>
        <w:rPr>
          <w:rFonts w:hint="eastAsia" w:cs="宋体" w:asciiTheme="minorEastAsia" w:hAnsiTheme="minorEastAsia" w:eastAsiaTheme="minorEastAsia"/>
          <w:b/>
          <w:bCs/>
          <w:sz w:val="24"/>
          <w:szCs w:val="24"/>
          <w:lang w:val="en-US" w:eastAsia="zh-CN"/>
        </w:rPr>
        <w:t>七</w:t>
      </w:r>
      <w:r>
        <w:rPr>
          <w:rFonts w:hint="eastAsia" w:cs="宋体" w:asciiTheme="minorEastAsia" w:hAnsiTheme="minorEastAsia" w:eastAsiaTheme="minorEastAsia"/>
          <w:b/>
          <w:bCs/>
          <w:sz w:val="24"/>
          <w:szCs w:val="24"/>
          <w:lang w:val="zh-CN"/>
        </w:rPr>
        <w:t>：</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报价明细表</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采购编号：</w:t>
      </w:r>
    </w:p>
    <w:tbl>
      <w:tblPr>
        <w:tblStyle w:val="2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691"/>
        <w:gridCol w:w="2412"/>
        <w:gridCol w:w="90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691" w:type="dxa"/>
            <w:vAlign w:val="center"/>
          </w:tcPr>
          <w:p>
            <w:pPr>
              <w:spacing w:line="360" w:lineRule="auto"/>
              <w:jc w:val="center"/>
              <w:rPr>
                <w:rFonts w:ascii="宋体" w:hAnsi="宋体" w:cs="宋体"/>
                <w:sz w:val="24"/>
              </w:rPr>
            </w:pPr>
            <w:r>
              <w:rPr>
                <w:rFonts w:hint="eastAsia" w:ascii="宋体" w:hAnsi="宋体" w:cs="宋体"/>
                <w:sz w:val="24"/>
              </w:rPr>
              <w:t>货物名称</w:t>
            </w:r>
          </w:p>
        </w:tc>
        <w:tc>
          <w:tcPr>
            <w:tcW w:w="2412" w:type="dxa"/>
            <w:vAlign w:val="center"/>
          </w:tcPr>
          <w:p>
            <w:pPr>
              <w:spacing w:line="360" w:lineRule="auto"/>
              <w:jc w:val="center"/>
              <w:rPr>
                <w:rFonts w:ascii="宋体" w:hAnsi="宋体" w:cs="宋体"/>
                <w:sz w:val="24"/>
              </w:rPr>
            </w:pPr>
            <w:r>
              <w:rPr>
                <w:rFonts w:hint="eastAsia" w:ascii="宋体" w:hAnsi="宋体" w:cs="宋体"/>
                <w:sz w:val="24"/>
              </w:rPr>
              <w:t>规格、型号、品牌</w:t>
            </w:r>
          </w:p>
        </w:tc>
        <w:tc>
          <w:tcPr>
            <w:tcW w:w="900"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900" w:type="dxa"/>
            <w:vAlign w:val="center"/>
          </w:tcPr>
          <w:p>
            <w:pPr>
              <w:spacing w:line="360" w:lineRule="auto"/>
              <w:jc w:val="center"/>
              <w:rPr>
                <w:rFonts w:ascii="宋体" w:hAnsi="宋体" w:cs="宋体"/>
                <w:sz w:val="24"/>
              </w:rPr>
            </w:pPr>
            <w:r>
              <w:rPr>
                <w:rFonts w:hint="eastAsia" w:ascii="宋体" w:hAnsi="宋体" w:cs="宋体"/>
                <w:sz w:val="24"/>
              </w:rPr>
              <w:t>单价</w:t>
            </w:r>
          </w:p>
        </w:tc>
        <w:tc>
          <w:tcPr>
            <w:tcW w:w="900"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1620" w:type="dxa"/>
            <w:vAlign w:val="center"/>
          </w:tcPr>
          <w:p>
            <w:pPr>
              <w:spacing w:line="360" w:lineRule="auto"/>
              <w:jc w:val="center"/>
              <w:rPr>
                <w:rFonts w:ascii="宋体" w:hAnsi="宋体" w:cs="宋体"/>
                <w:sz w:val="24"/>
              </w:rPr>
            </w:pPr>
            <w:r>
              <w:rPr>
                <w:rFonts w:hint="eastAsia" w:ascii="宋体" w:hAnsi="宋体" w:cs="宋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4" w:type="dxa"/>
            <w:gridSpan w:val="2"/>
            <w:vAlign w:val="center"/>
          </w:tcPr>
          <w:p>
            <w:pPr>
              <w:spacing w:line="360" w:lineRule="auto"/>
              <w:jc w:val="center"/>
              <w:rPr>
                <w:rFonts w:ascii="宋体" w:hAnsi="宋体" w:cs="宋体"/>
                <w:sz w:val="24"/>
              </w:rPr>
            </w:pPr>
            <w:r>
              <w:rPr>
                <w:rFonts w:hint="eastAsia" w:ascii="宋体" w:hAnsi="宋体" w:cs="宋体"/>
                <w:sz w:val="24"/>
              </w:rPr>
              <w:t>合计金额</w:t>
            </w:r>
          </w:p>
        </w:tc>
        <w:tc>
          <w:tcPr>
            <w:tcW w:w="6732" w:type="dxa"/>
            <w:gridSpan w:val="5"/>
            <w:vAlign w:val="center"/>
          </w:tcPr>
          <w:p>
            <w:pPr>
              <w:spacing w:line="360" w:lineRule="auto"/>
              <w:ind w:firstLine="1200" w:firstLineChars="500"/>
              <w:jc w:val="left"/>
              <w:rPr>
                <w:rFonts w:ascii="宋体" w:hAnsi="宋体" w:cs="宋体"/>
                <w:sz w:val="24"/>
              </w:rPr>
            </w:pPr>
            <w:r>
              <w:rPr>
                <w:rFonts w:hint="eastAsia" w:ascii="宋体" w:hAnsi="宋体" w:cs="宋体"/>
                <w:sz w:val="24"/>
                <w:u w:val="single"/>
              </w:rPr>
              <w:t>　　     　　</w:t>
            </w:r>
            <w:r>
              <w:rPr>
                <w:rFonts w:hint="eastAsia" w:ascii="宋体" w:hAnsi="宋体" w:cs="宋体"/>
                <w:sz w:val="24"/>
              </w:rPr>
              <w:t>元（大写：</w:t>
            </w:r>
            <w:r>
              <w:rPr>
                <w:rFonts w:hint="eastAsia" w:ascii="宋体" w:hAnsi="宋体" w:cs="宋体"/>
                <w:sz w:val="24"/>
                <w:u w:val="single"/>
              </w:rPr>
              <w:t>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9286" w:type="dxa"/>
            <w:gridSpan w:val="7"/>
            <w:vAlign w:val="center"/>
          </w:tcPr>
          <w:p>
            <w:pPr>
              <w:spacing w:line="360" w:lineRule="auto"/>
              <w:ind w:firstLine="480" w:firstLineChars="200"/>
              <w:rPr>
                <w:rFonts w:ascii="宋体" w:hAnsi="宋体" w:cs="宋体"/>
                <w:sz w:val="24"/>
              </w:rPr>
            </w:pPr>
            <w:r>
              <w:rPr>
                <w:rFonts w:hint="eastAsia" w:hAnsi="宋体" w:cs="宋体"/>
                <w:bCs/>
                <w:sz w:val="24"/>
              </w:rPr>
              <w:t>投标报价统一为人民币计价，是指完成本项目的全部费用，</w:t>
            </w:r>
            <w:r>
              <w:rPr>
                <w:rFonts w:hint="eastAsia" w:ascii="宋体" w:hAnsi="宋体" w:cs="宋体"/>
                <w:bCs/>
                <w:sz w:val="24"/>
              </w:rPr>
              <w:t>包括但不仅限于项目所需设备的设计、制造、供货、发货、配件费、材料费、安装费、调试费、指导安装、保险、人工费、管理费、税费、运费、规费、现场勘查费和交付使用、设备在本文规定的质保期内的维修保养，以及为达到与原有设备平台无缝对接使设备能安全、满意的运行设施等，并应保证设备在各方面均能达到正常运行要求的费用，以及招标代理费和其它一切不可预见和实际所需的一切其他费用，如有漏报，视同已包含在其报价中。</w:t>
            </w:r>
          </w:p>
        </w:tc>
      </w:tr>
    </w:tbl>
    <w:p>
      <w:pPr>
        <w:pStyle w:val="15"/>
        <w:spacing w:line="360"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注：内容可根据供应商实际情况自行调整。</w:t>
      </w:r>
    </w:p>
    <w:p>
      <w:pPr>
        <w:spacing w:line="360" w:lineRule="auto"/>
        <w:ind w:left="3600" w:leftChars="1800" w:firstLine="480" w:firstLineChars="200"/>
        <w:rPr>
          <w:rFonts w:cs="宋体" w:asciiTheme="minorEastAsia" w:hAnsiTheme="minorEastAsia" w:eastAsiaTheme="minorEastAsia"/>
          <w:sz w:val="24"/>
          <w:szCs w:val="24"/>
        </w:rPr>
      </w:pPr>
    </w:p>
    <w:p>
      <w:pPr>
        <w:spacing w:line="360" w:lineRule="auto"/>
        <w:ind w:left="3600" w:leftChars="1800" w:firstLine="480" w:firstLineChars="200"/>
        <w:rPr>
          <w:rFonts w:cs="宋体" w:asciiTheme="minorEastAsia" w:hAnsiTheme="minorEastAsia" w:eastAsiaTheme="minorEastAsia"/>
          <w:sz w:val="24"/>
          <w:szCs w:val="24"/>
        </w:rPr>
      </w:pP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法定代表人签名（或签名章）：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日期：</w:t>
      </w:r>
    </w:p>
    <w:p>
      <w:pPr>
        <w:spacing w:line="360" w:lineRule="auto"/>
        <w:ind w:left="3600" w:leftChars="1800"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供应商全称（公章）：</w:t>
      </w:r>
    </w:p>
    <w:bookmarkEnd w:id="115"/>
    <w:p>
      <w:pPr>
        <w:rPr>
          <w:rFonts w:cs="宋体"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98502"/>
    </w:sdtPr>
    <w:sdtContent>
      <w:p>
        <w:pPr>
          <w:pStyle w:val="1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98501"/>
    </w:sdtPr>
    <w:sdtContent>
      <w:p>
        <w:pPr>
          <w:pStyle w:val="18"/>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98503"/>
    </w:sdtPr>
    <w:sdtContent>
      <w:p>
        <w:pPr>
          <w:pStyle w:val="18"/>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left="1080" w:hanging="1080" w:hangingChars="600"/>
      <w:jc w:val="both"/>
      <w:rPr>
        <w:color w:val="FF0000"/>
      </w:rPr>
    </w:pP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1">
    <w:nsid w:val="9E7D436F"/>
    <w:multiLevelType w:val="singleLevel"/>
    <w:tmpl w:val="9E7D436F"/>
    <w:lvl w:ilvl="0" w:tentative="0">
      <w:start w:val="1"/>
      <w:numFmt w:val="chineseCounting"/>
      <w:suff w:val="nothing"/>
      <w:lvlText w:val="%1、"/>
      <w:lvlJc w:val="left"/>
      <w:rPr>
        <w:rFonts w:hint="eastAsia"/>
      </w:rPr>
    </w:lvl>
  </w:abstractNum>
  <w:abstractNum w:abstractNumId="2">
    <w:nsid w:val="BC48C2F1"/>
    <w:multiLevelType w:val="singleLevel"/>
    <w:tmpl w:val="BC48C2F1"/>
    <w:lvl w:ilvl="0" w:tentative="0">
      <w:start w:val="1"/>
      <w:numFmt w:val="decimalEnclosedCircleChinese"/>
      <w:suff w:val="nothing"/>
      <w:lvlText w:val="%1　"/>
      <w:lvlJc w:val="left"/>
      <w:pPr>
        <w:ind w:firstLine="1134"/>
      </w:pPr>
      <w:rPr>
        <w:rFonts w:hint="eastAsia"/>
      </w:rPr>
    </w:lvl>
  </w:abstractNum>
  <w:abstractNum w:abstractNumId="3">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4">
    <w:nsid w:val="E416DF0E"/>
    <w:multiLevelType w:val="singleLevel"/>
    <w:tmpl w:val="E416DF0E"/>
    <w:lvl w:ilvl="0" w:tentative="0">
      <w:start w:val="4"/>
      <w:numFmt w:val="chineseCounting"/>
      <w:suff w:val="nothing"/>
      <w:lvlText w:val="%1、"/>
      <w:lvlJc w:val="left"/>
      <w:rPr>
        <w:rFonts w:hint="eastAsia"/>
      </w:rPr>
    </w:lvl>
  </w:abstractNum>
  <w:abstractNum w:abstractNumId="5">
    <w:nsid w:val="FD090635"/>
    <w:multiLevelType w:val="singleLevel"/>
    <w:tmpl w:val="FD090635"/>
    <w:lvl w:ilvl="0" w:tentative="0">
      <w:start w:val="2"/>
      <w:numFmt w:val="chineseCounting"/>
      <w:suff w:val="space"/>
      <w:lvlText w:val="第%1章"/>
      <w:lvlJc w:val="left"/>
      <w:rPr>
        <w:rFonts w:hint="eastAsia"/>
        <w:sz w:val="30"/>
        <w:szCs w:val="30"/>
      </w:rPr>
    </w:lvl>
  </w:abstractNum>
  <w:abstractNum w:abstractNumId="6">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7">
    <w:nsid w:val="0B9D2C1E"/>
    <w:multiLevelType w:val="singleLevel"/>
    <w:tmpl w:val="0B9D2C1E"/>
    <w:lvl w:ilvl="0" w:tentative="0">
      <w:start w:val="1"/>
      <w:numFmt w:val="decimalEnclosedCircleChinese"/>
      <w:suff w:val="nothing"/>
      <w:lvlText w:val="%1　"/>
      <w:lvlJc w:val="left"/>
      <w:pPr>
        <w:ind w:firstLine="1134"/>
      </w:pPr>
      <w:rPr>
        <w:rFonts w:hint="eastAsia"/>
      </w:rPr>
    </w:lvl>
  </w:abstractNum>
  <w:abstractNum w:abstractNumId="8">
    <w:nsid w:val="12F353C5"/>
    <w:multiLevelType w:val="singleLevel"/>
    <w:tmpl w:val="12F353C5"/>
    <w:lvl w:ilvl="0" w:tentative="0">
      <w:start w:val="1"/>
      <w:numFmt w:val="chineseCounting"/>
      <w:suff w:val="nothing"/>
      <w:lvlText w:val="%1、"/>
      <w:lvlJc w:val="left"/>
      <w:rPr>
        <w:rFonts w:hint="eastAsia"/>
      </w:rPr>
    </w:lvl>
  </w:abstractNum>
  <w:abstractNum w:abstractNumId="9">
    <w:nsid w:val="139B6DF6"/>
    <w:multiLevelType w:val="singleLevel"/>
    <w:tmpl w:val="139B6DF6"/>
    <w:lvl w:ilvl="0" w:tentative="0">
      <w:start w:val="1"/>
      <w:numFmt w:val="decimal"/>
      <w:suff w:val="nothing"/>
      <w:lvlText w:val="9.%1 "/>
      <w:lvlJc w:val="left"/>
      <w:pPr>
        <w:tabs>
          <w:tab w:val="left" w:pos="1378"/>
        </w:tabs>
        <w:ind w:firstLine="40"/>
      </w:pPr>
      <w:rPr>
        <w:rFonts w:hint="default" w:ascii="宋体" w:hAnsi="宋体" w:eastAsia="宋体"/>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firstLine="397"/>
      </w:pPr>
      <w:rPr>
        <w:rFonts w:hint="eastAsia"/>
      </w:rPr>
    </w:lvl>
  </w:abstractNum>
  <w:abstractNum w:abstractNumId="12">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3">
    <w:nsid w:val="31213A5A"/>
    <w:multiLevelType w:val="singleLevel"/>
    <w:tmpl w:val="31213A5A"/>
    <w:lvl w:ilvl="0" w:tentative="0">
      <w:start w:val="4"/>
      <w:numFmt w:val="chineseCounting"/>
      <w:suff w:val="nothing"/>
      <w:lvlText w:val="%1、"/>
      <w:lvlJc w:val="left"/>
      <w:rPr>
        <w:rFonts w:hint="eastAsia"/>
      </w:rPr>
    </w:lvl>
  </w:abstractNum>
  <w:abstractNum w:abstractNumId="14">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5">
    <w:nsid w:val="466C6E1F"/>
    <w:multiLevelType w:val="multilevel"/>
    <w:tmpl w:val="466C6E1F"/>
    <w:lvl w:ilvl="0" w:tentative="0">
      <w:start w:val="1"/>
      <w:numFmt w:val="upperLetter"/>
      <w:pStyle w:val="6"/>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7">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8">
    <w:nsid w:val="7B2826C6"/>
    <w:multiLevelType w:val="singleLevel"/>
    <w:tmpl w:val="7B2826C6"/>
    <w:lvl w:ilvl="0" w:tentative="0">
      <w:start w:val="1"/>
      <w:numFmt w:val="decimal"/>
      <w:suff w:val="nothing"/>
      <w:lvlText w:val="%1．"/>
      <w:lvlJc w:val="left"/>
      <w:pPr>
        <w:ind w:firstLine="397"/>
      </w:pPr>
      <w:rPr>
        <w:rFonts w:hint="default"/>
      </w:rPr>
    </w:lvl>
  </w:abstractNum>
  <w:num w:numId="1">
    <w:abstractNumId w:val="15"/>
  </w:num>
  <w:num w:numId="2">
    <w:abstractNumId w:val="6"/>
  </w:num>
  <w:num w:numId="3">
    <w:abstractNumId w:val="17"/>
  </w:num>
  <w:num w:numId="4">
    <w:abstractNumId w:val="10"/>
  </w:num>
  <w:num w:numId="5">
    <w:abstractNumId w:val="18"/>
  </w:num>
  <w:num w:numId="6">
    <w:abstractNumId w:val="11"/>
  </w:num>
  <w:num w:numId="7">
    <w:abstractNumId w:val="8"/>
  </w:num>
  <w:num w:numId="8">
    <w:abstractNumId w:val="9"/>
  </w:num>
  <w:num w:numId="9">
    <w:abstractNumId w:val="16"/>
  </w:num>
  <w:num w:numId="10">
    <w:abstractNumId w:val="14"/>
  </w:num>
  <w:num w:numId="11">
    <w:abstractNumId w:val="3"/>
  </w:num>
  <w:num w:numId="12">
    <w:abstractNumId w:val="0"/>
  </w:num>
  <w:num w:numId="13">
    <w:abstractNumId w:val="12"/>
  </w:num>
  <w:num w:numId="14">
    <w:abstractNumId w:val="4"/>
  </w:num>
  <w:num w:numId="15">
    <w:abstractNumId w:val="5"/>
  </w:num>
  <w:num w:numId="16">
    <w:abstractNumId w:val="1"/>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0"/>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YmMyODVjZDg3ODE2N2I5NDlmMTEzMjAxYTlmODkifQ=="/>
  </w:docVars>
  <w:rsids>
    <w:rsidRoot w:val="5AA412FE"/>
    <w:rsid w:val="00001D22"/>
    <w:rsid w:val="00017B63"/>
    <w:rsid w:val="0002407B"/>
    <w:rsid w:val="00031E0E"/>
    <w:rsid w:val="000346EC"/>
    <w:rsid w:val="00037E77"/>
    <w:rsid w:val="000457E8"/>
    <w:rsid w:val="00050642"/>
    <w:rsid w:val="00054261"/>
    <w:rsid w:val="0006706B"/>
    <w:rsid w:val="00067DF5"/>
    <w:rsid w:val="00084DB8"/>
    <w:rsid w:val="00085ECB"/>
    <w:rsid w:val="000A2F0E"/>
    <w:rsid w:val="000A6093"/>
    <w:rsid w:val="000C0FDF"/>
    <w:rsid w:val="000C1626"/>
    <w:rsid w:val="000C4314"/>
    <w:rsid w:val="000E642D"/>
    <w:rsid w:val="000F31C0"/>
    <w:rsid w:val="000F34AF"/>
    <w:rsid w:val="0010390D"/>
    <w:rsid w:val="001039CA"/>
    <w:rsid w:val="00105576"/>
    <w:rsid w:val="00110359"/>
    <w:rsid w:val="00110A33"/>
    <w:rsid w:val="00116BCE"/>
    <w:rsid w:val="00120C78"/>
    <w:rsid w:val="0015146D"/>
    <w:rsid w:val="00163764"/>
    <w:rsid w:val="0018216C"/>
    <w:rsid w:val="00183780"/>
    <w:rsid w:val="001A1822"/>
    <w:rsid w:val="001B4CF1"/>
    <w:rsid w:val="001C6880"/>
    <w:rsid w:val="001D0BF7"/>
    <w:rsid w:val="001D21F3"/>
    <w:rsid w:val="001E6173"/>
    <w:rsid w:val="001F0256"/>
    <w:rsid w:val="001F2F3A"/>
    <w:rsid w:val="001F490F"/>
    <w:rsid w:val="00205BCA"/>
    <w:rsid w:val="002078E3"/>
    <w:rsid w:val="00207B3B"/>
    <w:rsid w:val="0021296F"/>
    <w:rsid w:val="002205AF"/>
    <w:rsid w:val="00221D1D"/>
    <w:rsid w:val="00223E24"/>
    <w:rsid w:val="00224103"/>
    <w:rsid w:val="002247BF"/>
    <w:rsid w:val="00245AF5"/>
    <w:rsid w:val="00252AEE"/>
    <w:rsid w:val="0026106F"/>
    <w:rsid w:val="00263D2B"/>
    <w:rsid w:val="00273B76"/>
    <w:rsid w:val="00273F1A"/>
    <w:rsid w:val="00275466"/>
    <w:rsid w:val="002761A4"/>
    <w:rsid w:val="002839D8"/>
    <w:rsid w:val="002B04D3"/>
    <w:rsid w:val="002C34CA"/>
    <w:rsid w:val="00312278"/>
    <w:rsid w:val="00313B8D"/>
    <w:rsid w:val="003211E5"/>
    <w:rsid w:val="0032125A"/>
    <w:rsid w:val="00323682"/>
    <w:rsid w:val="00325068"/>
    <w:rsid w:val="0034404D"/>
    <w:rsid w:val="003470DA"/>
    <w:rsid w:val="0035424B"/>
    <w:rsid w:val="0035715D"/>
    <w:rsid w:val="00357184"/>
    <w:rsid w:val="00363AFD"/>
    <w:rsid w:val="00373640"/>
    <w:rsid w:val="00374E3E"/>
    <w:rsid w:val="003914B1"/>
    <w:rsid w:val="00392B4C"/>
    <w:rsid w:val="00393C1C"/>
    <w:rsid w:val="003A0D36"/>
    <w:rsid w:val="003A514B"/>
    <w:rsid w:val="003B0654"/>
    <w:rsid w:val="003B4AB3"/>
    <w:rsid w:val="003B6DDD"/>
    <w:rsid w:val="003C7061"/>
    <w:rsid w:val="003D07BA"/>
    <w:rsid w:val="003D5064"/>
    <w:rsid w:val="003F49CC"/>
    <w:rsid w:val="00400657"/>
    <w:rsid w:val="00402FF9"/>
    <w:rsid w:val="00421C81"/>
    <w:rsid w:val="004277E5"/>
    <w:rsid w:val="00442B78"/>
    <w:rsid w:val="00447FEE"/>
    <w:rsid w:val="004536A0"/>
    <w:rsid w:val="00463C96"/>
    <w:rsid w:val="00467AC4"/>
    <w:rsid w:val="004823D2"/>
    <w:rsid w:val="00483462"/>
    <w:rsid w:val="00486981"/>
    <w:rsid w:val="00487216"/>
    <w:rsid w:val="004B23D2"/>
    <w:rsid w:val="004E63AF"/>
    <w:rsid w:val="004E7DB7"/>
    <w:rsid w:val="004F61AD"/>
    <w:rsid w:val="0050158B"/>
    <w:rsid w:val="00502B33"/>
    <w:rsid w:val="0050528B"/>
    <w:rsid w:val="00506127"/>
    <w:rsid w:val="00506AF8"/>
    <w:rsid w:val="005079CF"/>
    <w:rsid w:val="0052789F"/>
    <w:rsid w:val="00536BAE"/>
    <w:rsid w:val="00542925"/>
    <w:rsid w:val="00543D95"/>
    <w:rsid w:val="005529D2"/>
    <w:rsid w:val="00557361"/>
    <w:rsid w:val="005617C4"/>
    <w:rsid w:val="005768DC"/>
    <w:rsid w:val="00590C6C"/>
    <w:rsid w:val="005971F4"/>
    <w:rsid w:val="005A54F0"/>
    <w:rsid w:val="005B3EDB"/>
    <w:rsid w:val="005B7D1F"/>
    <w:rsid w:val="005C3597"/>
    <w:rsid w:val="005C7CD7"/>
    <w:rsid w:val="00610F38"/>
    <w:rsid w:val="00616FF9"/>
    <w:rsid w:val="00631FCF"/>
    <w:rsid w:val="0064397B"/>
    <w:rsid w:val="00646067"/>
    <w:rsid w:val="006904D3"/>
    <w:rsid w:val="00691A05"/>
    <w:rsid w:val="00692F21"/>
    <w:rsid w:val="006973E5"/>
    <w:rsid w:val="006A6850"/>
    <w:rsid w:val="006C7C7C"/>
    <w:rsid w:val="006D7757"/>
    <w:rsid w:val="006E4D94"/>
    <w:rsid w:val="00710F26"/>
    <w:rsid w:val="00721DB0"/>
    <w:rsid w:val="007271B4"/>
    <w:rsid w:val="0074399E"/>
    <w:rsid w:val="007536BB"/>
    <w:rsid w:val="007617EB"/>
    <w:rsid w:val="00774172"/>
    <w:rsid w:val="00780526"/>
    <w:rsid w:val="00785F08"/>
    <w:rsid w:val="0079084C"/>
    <w:rsid w:val="00796AA3"/>
    <w:rsid w:val="007A4C8A"/>
    <w:rsid w:val="007C1988"/>
    <w:rsid w:val="007C36F2"/>
    <w:rsid w:val="007C5917"/>
    <w:rsid w:val="007D1674"/>
    <w:rsid w:val="007F61D2"/>
    <w:rsid w:val="00804A32"/>
    <w:rsid w:val="00815016"/>
    <w:rsid w:val="00816086"/>
    <w:rsid w:val="00820B40"/>
    <w:rsid w:val="00830F9A"/>
    <w:rsid w:val="00831737"/>
    <w:rsid w:val="00841FBD"/>
    <w:rsid w:val="00860F2A"/>
    <w:rsid w:val="008651FF"/>
    <w:rsid w:val="00870215"/>
    <w:rsid w:val="00873263"/>
    <w:rsid w:val="00875467"/>
    <w:rsid w:val="00880A2D"/>
    <w:rsid w:val="00883369"/>
    <w:rsid w:val="00893230"/>
    <w:rsid w:val="008B44D1"/>
    <w:rsid w:val="008C2439"/>
    <w:rsid w:val="008C3E0D"/>
    <w:rsid w:val="008D667B"/>
    <w:rsid w:val="008E0A0C"/>
    <w:rsid w:val="008E2070"/>
    <w:rsid w:val="008E35FD"/>
    <w:rsid w:val="008E755B"/>
    <w:rsid w:val="008F27BD"/>
    <w:rsid w:val="00912636"/>
    <w:rsid w:val="009128D2"/>
    <w:rsid w:val="00913BA9"/>
    <w:rsid w:val="00913DF5"/>
    <w:rsid w:val="009205BE"/>
    <w:rsid w:val="00920D39"/>
    <w:rsid w:val="009241BF"/>
    <w:rsid w:val="009261EE"/>
    <w:rsid w:val="00927DB4"/>
    <w:rsid w:val="00940AB4"/>
    <w:rsid w:val="009459C8"/>
    <w:rsid w:val="0095157D"/>
    <w:rsid w:val="00961B43"/>
    <w:rsid w:val="0097128A"/>
    <w:rsid w:val="00971F84"/>
    <w:rsid w:val="00980B21"/>
    <w:rsid w:val="00980C1A"/>
    <w:rsid w:val="00995DC7"/>
    <w:rsid w:val="009975D9"/>
    <w:rsid w:val="009A0152"/>
    <w:rsid w:val="009B0354"/>
    <w:rsid w:val="009D0708"/>
    <w:rsid w:val="009D1851"/>
    <w:rsid w:val="009D1DE1"/>
    <w:rsid w:val="009D73E9"/>
    <w:rsid w:val="009F6343"/>
    <w:rsid w:val="00A0160A"/>
    <w:rsid w:val="00A01782"/>
    <w:rsid w:val="00A03E00"/>
    <w:rsid w:val="00A06FE3"/>
    <w:rsid w:val="00A118F1"/>
    <w:rsid w:val="00A234DB"/>
    <w:rsid w:val="00A2724A"/>
    <w:rsid w:val="00A27BF9"/>
    <w:rsid w:val="00A41B49"/>
    <w:rsid w:val="00A50EC2"/>
    <w:rsid w:val="00A52CBC"/>
    <w:rsid w:val="00A564DB"/>
    <w:rsid w:val="00A6394A"/>
    <w:rsid w:val="00A74A0A"/>
    <w:rsid w:val="00A82BC7"/>
    <w:rsid w:val="00A82FD6"/>
    <w:rsid w:val="00A84639"/>
    <w:rsid w:val="00A92CDF"/>
    <w:rsid w:val="00A95750"/>
    <w:rsid w:val="00AA112C"/>
    <w:rsid w:val="00AA4234"/>
    <w:rsid w:val="00AA61CF"/>
    <w:rsid w:val="00AB3663"/>
    <w:rsid w:val="00AD549D"/>
    <w:rsid w:val="00AE721D"/>
    <w:rsid w:val="00AF40FC"/>
    <w:rsid w:val="00AF7730"/>
    <w:rsid w:val="00B06D5A"/>
    <w:rsid w:val="00B074CC"/>
    <w:rsid w:val="00B122C2"/>
    <w:rsid w:val="00B1386B"/>
    <w:rsid w:val="00B20B66"/>
    <w:rsid w:val="00B25893"/>
    <w:rsid w:val="00B313AD"/>
    <w:rsid w:val="00B34795"/>
    <w:rsid w:val="00B47103"/>
    <w:rsid w:val="00B5379E"/>
    <w:rsid w:val="00B5485A"/>
    <w:rsid w:val="00B633BD"/>
    <w:rsid w:val="00B63F10"/>
    <w:rsid w:val="00B67512"/>
    <w:rsid w:val="00B7612E"/>
    <w:rsid w:val="00B94244"/>
    <w:rsid w:val="00B96A5B"/>
    <w:rsid w:val="00BA2B11"/>
    <w:rsid w:val="00BA4648"/>
    <w:rsid w:val="00BA48B6"/>
    <w:rsid w:val="00BB3AD9"/>
    <w:rsid w:val="00BD0B2B"/>
    <w:rsid w:val="00BD4629"/>
    <w:rsid w:val="00BD7334"/>
    <w:rsid w:val="00BF557D"/>
    <w:rsid w:val="00C03291"/>
    <w:rsid w:val="00C07237"/>
    <w:rsid w:val="00C07473"/>
    <w:rsid w:val="00C25F67"/>
    <w:rsid w:val="00C50363"/>
    <w:rsid w:val="00C56888"/>
    <w:rsid w:val="00C57F45"/>
    <w:rsid w:val="00C62CD4"/>
    <w:rsid w:val="00C63423"/>
    <w:rsid w:val="00C70180"/>
    <w:rsid w:val="00C90A67"/>
    <w:rsid w:val="00C93598"/>
    <w:rsid w:val="00C96E23"/>
    <w:rsid w:val="00C97493"/>
    <w:rsid w:val="00CA0E59"/>
    <w:rsid w:val="00CA29A3"/>
    <w:rsid w:val="00CA379F"/>
    <w:rsid w:val="00CB6CA7"/>
    <w:rsid w:val="00CD21E4"/>
    <w:rsid w:val="00CE2677"/>
    <w:rsid w:val="00CF3DF1"/>
    <w:rsid w:val="00D03574"/>
    <w:rsid w:val="00D131CF"/>
    <w:rsid w:val="00D208F6"/>
    <w:rsid w:val="00D32258"/>
    <w:rsid w:val="00D40761"/>
    <w:rsid w:val="00D4632B"/>
    <w:rsid w:val="00D510CF"/>
    <w:rsid w:val="00D6422E"/>
    <w:rsid w:val="00D822DF"/>
    <w:rsid w:val="00DA37D8"/>
    <w:rsid w:val="00DB0BCB"/>
    <w:rsid w:val="00DD0487"/>
    <w:rsid w:val="00DD3ABB"/>
    <w:rsid w:val="00DD533A"/>
    <w:rsid w:val="00DE7CF8"/>
    <w:rsid w:val="00DF40D8"/>
    <w:rsid w:val="00E027CF"/>
    <w:rsid w:val="00E109DA"/>
    <w:rsid w:val="00E257C8"/>
    <w:rsid w:val="00E42FD9"/>
    <w:rsid w:val="00E4358D"/>
    <w:rsid w:val="00E53562"/>
    <w:rsid w:val="00E53F3A"/>
    <w:rsid w:val="00E55984"/>
    <w:rsid w:val="00E937EB"/>
    <w:rsid w:val="00EA0033"/>
    <w:rsid w:val="00EA0DD7"/>
    <w:rsid w:val="00EA28CD"/>
    <w:rsid w:val="00EB2DCC"/>
    <w:rsid w:val="00EB3528"/>
    <w:rsid w:val="00EB65FF"/>
    <w:rsid w:val="00EC1EE6"/>
    <w:rsid w:val="00ED0982"/>
    <w:rsid w:val="00ED39CC"/>
    <w:rsid w:val="00EE77F6"/>
    <w:rsid w:val="00EF45AA"/>
    <w:rsid w:val="00F043A7"/>
    <w:rsid w:val="00F12831"/>
    <w:rsid w:val="00F44CF9"/>
    <w:rsid w:val="00F4616F"/>
    <w:rsid w:val="00F50C5D"/>
    <w:rsid w:val="00F519CA"/>
    <w:rsid w:val="00F673E5"/>
    <w:rsid w:val="00F83631"/>
    <w:rsid w:val="00F90819"/>
    <w:rsid w:val="00F91F4A"/>
    <w:rsid w:val="00F92C57"/>
    <w:rsid w:val="00FA6DC6"/>
    <w:rsid w:val="00FB1A08"/>
    <w:rsid w:val="00FC0E55"/>
    <w:rsid w:val="00FD1550"/>
    <w:rsid w:val="00FE141B"/>
    <w:rsid w:val="0149271B"/>
    <w:rsid w:val="02710CE9"/>
    <w:rsid w:val="02F474A0"/>
    <w:rsid w:val="02FB0AA9"/>
    <w:rsid w:val="02FB1EF4"/>
    <w:rsid w:val="08F57ACE"/>
    <w:rsid w:val="09581F88"/>
    <w:rsid w:val="09B40CD8"/>
    <w:rsid w:val="0A34069F"/>
    <w:rsid w:val="0CFB42D9"/>
    <w:rsid w:val="0E5332D6"/>
    <w:rsid w:val="0F9E5390"/>
    <w:rsid w:val="104145F9"/>
    <w:rsid w:val="119A7465"/>
    <w:rsid w:val="11CF6577"/>
    <w:rsid w:val="127B54E8"/>
    <w:rsid w:val="13495BED"/>
    <w:rsid w:val="13591417"/>
    <w:rsid w:val="13975F78"/>
    <w:rsid w:val="151439D2"/>
    <w:rsid w:val="155D552F"/>
    <w:rsid w:val="157D7686"/>
    <w:rsid w:val="15830AE2"/>
    <w:rsid w:val="15A07E8D"/>
    <w:rsid w:val="1648774C"/>
    <w:rsid w:val="16EB43B2"/>
    <w:rsid w:val="19061AA7"/>
    <w:rsid w:val="1A472154"/>
    <w:rsid w:val="1B155261"/>
    <w:rsid w:val="1B7166B9"/>
    <w:rsid w:val="1B970EB9"/>
    <w:rsid w:val="1BB5293D"/>
    <w:rsid w:val="1BBC7011"/>
    <w:rsid w:val="1BDB27A5"/>
    <w:rsid w:val="1CFF0A9F"/>
    <w:rsid w:val="1E1D4217"/>
    <w:rsid w:val="1E7432CA"/>
    <w:rsid w:val="1EDA1EFB"/>
    <w:rsid w:val="1F2B0346"/>
    <w:rsid w:val="1F431821"/>
    <w:rsid w:val="1F7B8A70"/>
    <w:rsid w:val="1F890C4B"/>
    <w:rsid w:val="205B73C3"/>
    <w:rsid w:val="207A249B"/>
    <w:rsid w:val="20D34487"/>
    <w:rsid w:val="21537272"/>
    <w:rsid w:val="215A3622"/>
    <w:rsid w:val="217C1A22"/>
    <w:rsid w:val="21FF3D3B"/>
    <w:rsid w:val="22514430"/>
    <w:rsid w:val="232B05BB"/>
    <w:rsid w:val="247D9D10"/>
    <w:rsid w:val="25010437"/>
    <w:rsid w:val="26451EEA"/>
    <w:rsid w:val="26704F2E"/>
    <w:rsid w:val="28730E57"/>
    <w:rsid w:val="28891846"/>
    <w:rsid w:val="28A644E9"/>
    <w:rsid w:val="28C62F56"/>
    <w:rsid w:val="28DA203A"/>
    <w:rsid w:val="28F0407A"/>
    <w:rsid w:val="291A7D32"/>
    <w:rsid w:val="29381365"/>
    <w:rsid w:val="29655706"/>
    <w:rsid w:val="2B731422"/>
    <w:rsid w:val="2C1E1BE9"/>
    <w:rsid w:val="2D346E5C"/>
    <w:rsid w:val="2D701990"/>
    <w:rsid w:val="2DD601D3"/>
    <w:rsid w:val="2E0C4DEE"/>
    <w:rsid w:val="2E21325F"/>
    <w:rsid w:val="2E664953"/>
    <w:rsid w:val="30C95219"/>
    <w:rsid w:val="30FB7A19"/>
    <w:rsid w:val="310261A7"/>
    <w:rsid w:val="32A75185"/>
    <w:rsid w:val="33220830"/>
    <w:rsid w:val="33340B4D"/>
    <w:rsid w:val="33E4686F"/>
    <w:rsid w:val="349413EA"/>
    <w:rsid w:val="358E5668"/>
    <w:rsid w:val="364544FD"/>
    <w:rsid w:val="36CE34E8"/>
    <w:rsid w:val="37020770"/>
    <w:rsid w:val="375A2733"/>
    <w:rsid w:val="386F17B2"/>
    <w:rsid w:val="3AA40175"/>
    <w:rsid w:val="3C506BAF"/>
    <w:rsid w:val="3CEA09F1"/>
    <w:rsid w:val="3D5D52D9"/>
    <w:rsid w:val="3D74475E"/>
    <w:rsid w:val="3DCE50EF"/>
    <w:rsid w:val="3E1918E3"/>
    <w:rsid w:val="3E3759DF"/>
    <w:rsid w:val="40853072"/>
    <w:rsid w:val="40E80A95"/>
    <w:rsid w:val="41C50CBF"/>
    <w:rsid w:val="41D45DF7"/>
    <w:rsid w:val="42234900"/>
    <w:rsid w:val="42914373"/>
    <w:rsid w:val="4297507F"/>
    <w:rsid w:val="429E4757"/>
    <w:rsid w:val="42A44E8B"/>
    <w:rsid w:val="436C497E"/>
    <w:rsid w:val="43B67EE8"/>
    <w:rsid w:val="43BD6E5F"/>
    <w:rsid w:val="45C66EE5"/>
    <w:rsid w:val="46562959"/>
    <w:rsid w:val="467F690A"/>
    <w:rsid w:val="46B85F59"/>
    <w:rsid w:val="481E5144"/>
    <w:rsid w:val="48621071"/>
    <w:rsid w:val="492D7C31"/>
    <w:rsid w:val="4939021E"/>
    <w:rsid w:val="499B7CDB"/>
    <w:rsid w:val="49C134CC"/>
    <w:rsid w:val="4AD245F0"/>
    <w:rsid w:val="4B5C045F"/>
    <w:rsid w:val="4BE44EED"/>
    <w:rsid w:val="4CDD24A8"/>
    <w:rsid w:val="4D782815"/>
    <w:rsid w:val="4E236FF8"/>
    <w:rsid w:val="4E751A17"/>
    <w:rsid w:val="4EC72E3E"/>
    <w:rsid w:val="508F05EA"/>
    <w:rsid w:val="51095497"/>
    <w:rsid w:val="524C54AF"/>
    <w:rsid w:val="53155EBE"/>
    <w:rsid w:val="5382777D"/>
    <w:rsid w:val="54A90D98"/>
    <w:rsid w:val="54F65EBA"/>
    <w:rsid w:val="56071401"/>
    <w:rsid w:val="56B46CE7"/>
    <w:rsid w:val="56F203B4"/>
    <w:rsid w:val="575B3338"/>
    <w:rsid w:val="577C10EC"/>
    <w:rsid w:val="57F7CD2B"/>
    <w:rsid w:val="57FC55AA"/>
    <w:rsid w:val="580928E7"/>
    <w:rsid w:val="5825085E"/>
    <w:rsid w:val="58551F7D"/>
    <w:rsid w:val="59045A92"/>
    <w:rsid w:val="59C56616"/>
    <w:rsid w:val="5AA30659"/>
    <w:rsid w:val="5AA412FE"/>
    <w:rsid w:val="5AC72F10"/>
    <w:rsid w:val="5B6657AD"/>
    <w:rsid w:val="5CA558C9"/>
    <w:rsid w:val="5D217374"/>
    <w:rsid w:val="5DE81AA6"/>
    <w:rsid w:val="5E2B51A2"/>
    <w:rsid w:val="5E435D5B"/>
    <w:rsid w:val="5E6006BB"/>
    <w:rsid w:val="5F4FF37D"/>
    <w:rsid w:val="5F5B667A"/>
    <w:rsid w:val="5FD125EC"/>
    <w:rsid w:val="5FDB6882"/>
    <w:rsid w:val="61396DD0"/>
    <w:rsid w:val="616E32D2"/>
    <w:rsid w:val="638717D9"/>
    <w:rsid w:val="63F4E22E"/>
    <w:rsid w:val="64A14715"/>
    <w:rsid w:val="64EB15C7"/>
    <w:rsid w:val="659B3074"/>
    <w:rsid w:val="66064FD9"/>
    <w:rsid w:val="665E3A26"/>
    <w:rsid w:val="671B6AB8"/>
    <w:rsid w:val="67821C5D"/>
    <w:rsid w:val="67996221"/>
    <w:rsid w:val="67EE6D37"/>
    <w:rsid w:val="681E7F53"/>
    <w:rsid w:val="69A14E77"/>
    <w:rsid w:val="6AAB53B4"/>
    <w:rsid w:val="6B5070BC"/>
    <w:rsid w:val="6C77379F"/>
    <w:rsid w:val="6C8A7C1A"/>
    <w:rsid w:val="6D88336F"/>
    <w:rsid w:val="6DAD5655"/>
    <w:rsid w:val="6E957640"/>
    <w:rsid w:val="6F5AA19A"/>
    <w:rsid w:val="6F5E2C15"/>
    <w:rsid w:val="6F780C5E"/>
    <w:rsid w:val="706109EE"/>
    <w:rsid w:val="71686E4C"/>
    <w:rsid w:val="71DC5E53"/>
    <w:rsid w:val="72943041"/>
    <w:rsid w:val="72955284"/>
    <w:rsid w:val="72BA026E"/>
    <w:rsid w:val="72EA0AEA"/>
    <w:rsid w:val="732D4BB8"/>
    <w:rsid w:val="73AC6B4F"/>
    <w:rsid w:val="73EB3D22"/>
    <w:rsid w:val="75126D7A"/>
    <w:rsid w:val="75BA5477"/>
    <w:rsid w:val="75D05CCE"/>
    <w:rsid w:val="774E25FB"/>
    <w:rsid w:val="77537603"/>
    <w:rsid w:val="7765B837"/>
    <w:rsid w:val="77E63ABE"/>
    <w:rsid w:val="78937CF7"/>
    <w:rsid w:val="78E746E7"/>
    <w:rsid w:val="79CB6ED9"/>
    <w:rsid w:val="79ED6971"/>
    <w:rsid w:val="7A082333"/>
    <w:rsid w:val="7A173ECC"/>
    <w:rsid w:val="7AA33536"/>
    <w:rsid w:val="7AB4047B"/>
    <w:rsid w:val="7BFE1E83"/>
    <w:rsid w:val="7D4B76E9"/>
    <w:rsid w:val="7DBF21A5"/>
    <w:rsid w:val="7DDF2A9E"/>
    <w:rsid w:val="7DE93C59"/>
    <w:rsid w:val="7EFB51B8"/>
    <w:rsid w:val="7F1B1A63"/>
    <w:rsid w:val="7F3F6140"/>
    <w:rsid w:val="7FCFDAED"/>
    <w:rsid w:val="7FF88472"/>
    <w:rsid w:val="7FFAE60B"/>
    <w:rsid w:val="AFE41E42"/>
    <w:rsid w:val="BFFE3B5A"/>
    <w:rsid w:val="BFFF5014"/>
    <w:rsid w:val="D68F6F3A"/>
    <w:rsid w:val="DEEBBBAB"/>
    <w:rsid w:val="E6DD50A6"/>
    <w:rsid w:val="E9BD5C3F"/>
    <w:rsid w:val="F67FF132"/>
    <w:rsid w:val="FAAB5052"/>
    <w:rsid w:val="FBFE3BA9"/>
    <w:rsid w:val="FD7FBF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nhideWhenUsed="0" w:uiPriority="9"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0" w:name="toc 4"/>
    <w:lsdException w:qFormat="1" w:unhideWhenUsed="0" w:uiPriority="0"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5">
    <w:name w:val="heading 1"/>
    <w:basedOn w:val="1"/>
    <w:next w:val="1"/>
    <w:link w:val="34"/>
    <w:qFormat/>
    <w:uiPriority w:val="99"/>
    <w:pPr>
      <w:keepNext/>
      <w:keepLines/>
      <w:spacing w:line="576" w:lineRule="auto"/>
      <w:outlineLvl w:val="0"/>
    </w:pPr>
    <w:rPr>
      <w:rFonts w:ascii="Calibri" w:hAnsi="Calibri" w:cs="Calibri"/>
      <w:b/>
      <w:bCs/>
      <w:kern w:val="44"/>
      <w:sz w:val="44"/>
      <w:szCs w:val="44"/>
    </w:rPr>
  </w:style>
  <w:style w:type="paragraph" w:styleId="2">
    <w:name w:val="heading 2"/>
    <w:basedOn w:val="1"/>
    <w:next w:val="3"/>
    <w:link w:val="33"/>
    <w:qFormat/>
    <w:uiPriority w:val="9"/>
    <w:pPr>
      <w:keepNext/>
      <w:spacing w:line="216" w:lineRule="auto"/>
      <w:outlineLvl w:val="1"/>
    </w:pPr>
    <w:rPr>
      <w:rFonts w:ascii="宋体" w:hAnsi="Calibri" w:cs="宋体"/>
      <w:b/>
      <w:bCs/>
      <w:sz w:val="28"/>
      <w:szCs w:val="28"/>
    </w:rPr>
  </w:style>
  <w:style w:type="paragraph" w:styleId="6">
    <w:name w:val="heading 3"/>
    <w:basedOn w:val="1"/>
    <w:next w:val="1"/>
    <w:link w:val="36"/>
    <w:qFormat/>
    <w:uiPriority w:val="99"/>
    <w:pPr>
      <w:keepNext/>
      <w:numPr>
        <w:ilvl w:val="0"/>
        <w:numId w:val="1"/>
      </w:numPr>
      <w:spacing w:line="216" w:lineRule="auto"/>
      <w:outlineLvl w:val="2"/>
    </w:pPr>
    <w:rPr>
      <w:rFonts w:ascii="宋体" w:hAnsi="Calibri" w:cs="宋体"/>
      <w:b/>
      <w:bCs/>
      <w:sz w:val="28"/>
      <w:szCs w:val="28"/>
    </w:rPr>
  </w:style>
  <w:style w:type="paragraph" w:styleId="7">
    <w:name w:val="heading 4"/>
    <w:next w:val="1"/>
    <w:qFormat/>
    <w:locked/>
    <w:uiPriority w:val="0"/>
    <w:pPr>
      <w:keepLines/>
      <w:autoSpaceDE w:val="0"/>
      <w:autoSpaceDN w:val="0"/>
      <w:adjustRightInd w:val="0"/>
      <w:textAlignment w:val="baseline"/>
      <w:outlineLvl w:val="3"/>
    </w:pPr>
    <w:rPr>
      <w:rFonts w:ascii="Times New Roman" w:hAnsi="Times New Roman" w:eastAsia="楷体_GB2312" w:cs="Times New Roman"/>
      <w:b/>
      <w:snapToGrid w:val="0"/>
      <w:sz w:val="24"/>
      <w:lang w:val="en-US" w:eastAsia="zh-CN" w:bidi="ar-SA"/>
    </w:rPr>
  </w:style>
  <w:style w:type="paragraph" w:styleId="8">
    <w:name w:val="heading 6"/>
    <w:basedOn w:val="1"/>
    <w:next w:val="1"/>
    <w:qFormat/>
    <w:locked/>
    <w:uiPriority w:val="9"/>
    <w:pPr>
      <w:ind w:left="118"/>
      <w:outlineLvl w:val="5"/>
    </w:pPr>
    <w:rPr>
      <w:rFonts w:ascii="微软雅黑" w:hAnsi="微软雅黑" w:eastAsia="微软雅黑" w:cs="微软雅黑"/>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link w:val="74"/>
    <w:qFormat/>
    <w:uiPriority w:val="0"/>
    <w:pPr>
      <w:ind w:firstLine="420"/>
    </w:pPr>
  </w:style>
  <w:style w:type="paragraph" w:styleId="4">
    <w:name w:val="toc 4"/>
    <w:basedOn w:val="1"/>
    <w:next w:val="1"/>
    <w:semiHidden/>
    <w:qFormat/>
    <w:uiPriority w:val="0"/>
    <w:pPr>
      <w:ind w:left="1260" w:leftChars="600"/>
    </w:pPr>
  </w:style>
  <w:style w:type="paragraph" w:styleId="9">
    <w:name w:val="Body Text"/>
    <w:basedOn w:val="1"/>
    <w:next w:val="10"/>
    <w:link w:val="38"/>
    <w:qFormat/>
    <w:uiPriority w:val="99"/>
  </w:style>
  <w:style w:type="paragraph" w:styleId="10">
    <w:name w:val="Body Text First Indent"/>
    <w:basedOn w:val="9"/>
    <w:next w:val="11"/>
    <w:link w:val="37"/>
    <w:qFormat/>
    <w:uiPriority w:val="99"/>
    <w:pPr>
      <w:ind w:firstLine="420" w:firstLineChars="100"/>
    </w:pPr>
  </w:style>
  <w:style w:type="paragraph" w:styleId="11">
    <w:name w:val="toc 6"/>
    <w:basedOn w:val="1"/>
    <w:next w:val="1"/>
    <w:semiHidden/>
    <w:qFormat/>
    <w:uiPriority w:val="0"/>
    <w:pPr>
      <w:ind w:left="2100" w:leftChars="1000"/>
    </w:pPr>
  </w:style>
  <w:style w:type="paragraph" w:styleId="12">
    <w:name w:val="Body Text Indent"/>
    <w:basedOn w:val="1"/>
    <w:next w:val="1"/>
    <w:link w:val="39"/>
    <w:qFormat/>
    <w:uiPriority w:val="99"/>
    <w:pPr>
      <w:adjustRightInd w:val="0"/>
      <w:spacing w:line="360" w:lineRule="auto"/>
      <w:ind w:firstLine="490"/>
    </w:pPr>
    <w:rPr>
      <w:rFonts w:ascii="宋体" w:hAnsi="宋体" w:cs="宋体"/>
      <w:sz w:val="24"/>
      <w:szCs w:val="24"/>
    </w:rPr>
  </w:style>
  <w:style w:type="paragraph" w:styleId="13">
    <w:name w:val="toc 5"/>
    <w:basedOn w:val="1"/>
    <w:next w:val="1"/>
    <w:semiHidden/>
    <w:qFormat/>
    <w:uiPriority w:val="0"/>
    <w:pPr>
      <w:ind w:left="1680" w:leftChars="800"/>
    </w:pPr>
    <w:rPr>
      <w:kern w:val="2"/>
      <w:sz w:val="21"/>
      <w:szCs w:val="24"/>
    </w:rPr>
  </w:style>
  <w:style w:type="paragraph" w:styleId="14">
    <w:name w:val="toc 3"/>
    <w:next w:val="1"/>
    <w:semiHidden/>
    <w:qFormat/>
    <w:uiPriority w:val="99"/>
    <w:pPr>
      <w:ind w:left="840" w:leftChars="400"/>
    </w:pPr>
    <w:rPr>
      <w:rFonts w:ascii="Times New Roman" w:hAnsi="Times New Roman" w:eastAsia="宋体" w:cs="Times New Roman"/>
      <w:lang w:val="en-US" w:eastAsia="zh-CN" w:bidi="ar-SA"/>
    </w:rPr>
  </w:style>
  <w:style w:type="paragraph" w:styleId="15">
    <w:name w:val="Plain Text"/>
    <w:basedOn w:val="1"/>
    <w:next w:val="1"/>
    <w:link w:val="40"/>
    <w:qFormat/>
    <w:uiPriority w:val="0"/>
    <w:rPr>
      <w:rFonts w:ascii="宋体" w:hAnsi="Courier New" w:cs="宋体"/>
    </w:rPr>
  </w:style>
  <w:style w:type="paragraph" w:styleId="16">
    <w:name w:val="Date"/>
    <w:basedOn w:val="1"/>
    <w:next w:val="1"/>
    <w:link w:val="41"/>
    <w:qFormat/>
    <w:uiPriority w:val="99"/>
    <w:pPr>
      <w:ind w:left="100" w:leftChars="2500"/>
    </w:pPr>
    <w:rPr>
      <w:rFonts w:ascii="宋体" w:hAnsi="宋体" w:cs="宋体"/>
      <w:color w:val="000000"/>
      <w:sz w:val="24"/>
      <w:szCs w:val="24"/>
    </w:rPr>
  </w:style>
  <w:style w:type="paragraph" w:styleId="17">
    <w:name w:val="Balloon Text"/>
    <w:link w:val="42"/>
    <w:semiHidden/>
    <w:qFormat/>
    <w:uiPriority w:val="99"/>
    <w:rPr>
      <w:rFonts w:ascii="Times New Roman" w:hAnsi="Times New Roman" w:eastAsia="宋体" w:cs="Times New Roman"/>
      <w:sz w:val="18"/>
      <w:szCs w:val="18"/>
      <w:lang w:val="en-US" w:eastAsia="zh-CN" w:bidi="ar-SA"/>
    </w:rPr>
  </w:style>
  <w:style w:type="paragraph" w:styleId="18">
    <w:name w:val="footer"/>
    <w:basedOn w:val="1"/>
    <w:link w:val="43"/>
    <w:qFormat/>
    <w:uiPriority w:val="99"/>
    <w:pPr>
      <w:tabs>
        <w:tab w:val="center" w:pos="4153"/>
        <w:tab w:val="right" w:pos="8306"/>
      </w:tabs>
      <w:snapToGrid w:val="0"/>
    </w:pPr>
    <w:rPr>
      <w:sz w:val="18"/>
      <w:szCs w:val="18"/>
    </w:rPr>
  </w:style>
  <w:style w:type="paragraph" w:styleId="19">
    <w:name w:val="header"/>
    <w:basedOn w:val="1"/>
    <w:link w:val="44"/>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sz w:val="18"/>
      <w:szCs w:val="18"/>
    </w:rPr>
  </w:style>
  <w:style w:type="paragraph" w:styleId="20">
    <w:name w:val="toc 1"/>
    <w:next w:val="1"/>
    <w:qFormat/>
    <w:uiPriority w:val="39"/>
    <w:rPr>
      <w:rFonts w:ascii="Times New Roman" w:hAnsi="Times New Roman" w:eastAsia="宋体" w:cs="Times New Roman"/>
      <w:lang w:val="en-US" w:eastAsia="zh-CN" w:bidi="ar-SA"/>
    </w:rPr>
  </w:style>
  <w:style w:type="paragraph" w:styleId="21">
    <w:name w:val="toc 2"/>
    <w:next w:val="1"/>
    <w:qFormat/>
    <w:uiPriority w:val="39"/>
    <w:pPr>
      <w:ind w:left="420" w:leftChars="200"/>
    </w:pPr>
    <w:rPr>
      <w:rFonts w:ascii="Times New Roman" w:hAnsi="Times New Roman" w:eastAsia="宋体" w:cs="Times New Roman"/>
      <w:lang w:val="en-US" w:eastAsia="zh-CN" w:bidi="ar-SA"/>
    </w:rPr>
  </w:style>
  <w:style w:type="paragraph" w:styleId="22">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paragraph" w:styleId="23">
    <w:name w:val="Title"/>
    <w:basedOn w:val="1"/>
    <w:next w:val="1"/>
    <w:qFormat/>
    <w:locked/>
    <w:uiPriority w:val="0"/>
    <w:pPr>
      <w:spacing w:before="240" w:after="60"/>
      <w:jc w:val="center"/>
      <w:outlineLvl w:val="0"/>
    </w:pPr>
    <w:rPr>
      <w:rFonts w:ascii="Cambria" w:hAnsi="Cambria"/>
      <w:b/>
      <w:bCs/>
      <w:sz w:val="32"/>
      <w:szCs w:val="32"/>
    </w:rPr>
  </w:style>
  <w:style w:type="paragraph" w:styleId="24">
    <w:name w:val="Body Text First Indent 2"/>
    <w:basedOn w:val="12"/>
    <w:next w:val="25"/>
    <w:link w:val="80"/>
    <w:qFormat/>
    <w:uiPriority w:val="99"/>
    <w:pPr>
      <w:ind w:firstLine="420"/>
    </w:pPr>
  </w:style>
  <w:style w:type="paragraph" w:customStyle="1" w:styleId="25">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27">
    <w:name w:val="Table Grid"/>
    <w:basedOn w:val="26"/>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99"/>
    <w:rPr>
      <w:b/>
      <w:bCs/>
    </w:rPr>
  </w:style>
  <w:style w:type="character" w:styleId="30">
    <w:name w:val="page number"/>
    <w:basedOn w:val="28"/>
    <w:qFormat/>
    <w:uiPriority w:val="99"/>
  </w:style>
  <w:style w:type="character" w:styleId="31">
    <w:name w:val="Hyperlink"/>
    <w:basedOn w:val="28"/>
    <w:qFormat/>
    <w:uiPriority w:val="99"/>
    <w:rPr>
      <w:color w:val="0000FF"/>
      <w:u w:val="single"/>
    </w:rPr>
  </w:style>
  <w:style w:type="character" w:styleId="32">
    <w:name w:val="HTML Sample"/>
    <w:basedOn w:val="28"/>
    <w:semiHidden/>
    <w:unhideWhenUsed/>
    <w:qFormat/>
    <w:uiPriority w:val="99"/>
    <w:rPr>
      <w:rFonts w:hint="default" w:ascii="Courier New" w:hAnsi="Courier New" w:eastAsia="宋体" w:cs="Courier New"/>
    </w:rPr>
  </w:style>
  <w:style w:type="character" w:customStyle="1" w:styleId="33">
    <w:name w:val="标题 2 字符"/>
    <w:basedOn w:val="28"/>
    <w:link w:val="2"/>
    <w:qFormat/>
    <w:locked/>
    <w:uiPriority w:val="9"/>
    <w:rPr>
      <w:rFonts w:ascii="宋体" w:cs="宋体"/>
      <w:b/>
      <w:bCs/>
      <w:kern w:val="2"/>
      <w:sz w:val="28"/>
      <w:szCs w:val="28"/>
    </w:rPr>
  </w:style>
  <w:style w:type="character" w:customStyle="1" w:styleId="34">
    <w:name w:val="标题 1 字符"/>
    <w:basedOn w:val="28"/>
    <w:link w:val="5"/>
    <w:qFormat/>
    <w:locked/>
    <w:uiPriority w:val="99"/>
    <w:rPr>
      <w:b/>
      <w:bCs/>
      <w:kern w:val="44"/>
      <w:sz w:val="44"/>
      <w:szCs w:val="44"/>
    </w:rPr>
  </w:style>
  <w:style w:type="paragraph" w:customStyle="1" w:styleId="35">
    <w:name w:val="正文缩进1"/>
    <w:qFormat/>
    <w:uiPriority w:val="0"/>
    <w:pPr>
      <w:ind w:firstLine="420" w:firstLineChars="200"/>
    </w:pPr>
    <w:rPr>
      <w:rFonts w:ascii="Times New Roman" w:hAnsi="Times New Roman" w:eastAsia="宋体" w:cs="Times New Roman"/>
      <w:lang w:val="en-US" w:eastAsia="zh-CN" w:bidi="ar-SA"/>
    </w:rPr>
  </w:style>
  <w:style w:type="character" w:customStyle="1" w:styleId="36">
    <w:name w:val="标题 3 字符"/>
    <w:basedOn w:val="28"/>
    <w:link w:val="6"/>
    <w:qFormat/>
    <w:locked/>
    <w:uiPriority w:val="99"/>
    <w:rPr>
      <w:rFonts w:ascii="宋体" w:cs="宋体"/>
      <w:b/>
      <w:bCs/>
      <w:kern w:val="2"/>
      <w:sz w:val="28"/>
      <w:szCs w:val="28"/>
    </w:rPr>
  </w:style>
  <w:style w:type="character" w:customStyle="1" w:styleId="37">
    <w:name w:val="正文文本首行缩进 字符"/>
    <w:basedOn w:val="38"/>
    <w:link w:val="10"/>
    <w:semiHidden/>
    <w:qFormat/>
    <w:uiPriority w:val="99"/>
    <w:rPr>
      <w:rFonts w:ascii="Times New Roman" w:hAnsi="Times New Roman"/>
      <w:szCs w:val="21"/>
    </w:rPr>
  </w:style>
  <w:style w:type="character" w:customStyle="1" w:styleId="38">
    <w:name w:val="正文文本 字符"/>
    <w:basedOn w:val="28"/>
    <w:link w:val="9"/>
    <w:semiHidden/>
    <w:qFormat/>
    <w:uiPriority w:val="99"/>
    <w:rPr>
      <w:rFonts w:ascii="Times New Roman" w:hAnsi="Times New Roman"/>
      <w:szCs w:val="21"/>
    </w:rPr>
  </w:style>
  <w:style w:type="character" w:customStyle="1" w:styleId="39">
    <w:name w:val="正文文本缩进 字符"/>
    <w:basedOn w:val="28"/>
    <w:link w:val="12"/>
    <w:semiHidden/>
    <w:qFormat/>
    <w:uiPriority w:val="99"/>
    <w:rPr>
      <w:rFonts w:ascii="Times New Roman" w:hAnsi="Times New Roman"/>
      <w:szCs w:val="21"/>
    </w:rPr>
  </w:style>
  <w:style w:type="character" w:customStyle="1" w:styleId="40">
    <w:name w:val="纯文本 字符"/>
    <w:basedOn w:val="28"/>
    <w:link w:val="15"/>
    <w:qFormat/>
    <w:uiPriority w:val="0"/>
    <w:rPr>
      <w:rFonts w:ascii="宋体" w:hAnsi="Courier New" w:cs="Courier New"/>
      <w:szCs w:val="21"/>
    </w:rPr>
  </w:style>
  <w:style w:type="character" w:customStyle="1" w:styleId="41">
    <w:name w:val="日期 字符"/>
    <w:basedOn w:val="28"/>
    <w:link w:val="16"/>
    <w:semiHidden/>
    <w:qFormat/>
    <w:uiPriority w:val="99"/>
    <w:rPr>
      <w:rFonts w:ascii="Times New Roman" w:hAnsi="Times New Roman"/>
      <w:szCs w:val="21"/>
    </w:rPr>
  </w:style>
  <w:style w:type="character" w:customStyle="1" w:styleId="42">
    <w:name w:val="批注框文本 字符"/>
    <w:basedOn w:val="28"/>
    <w:link w:val="17"/>
    <w:qFormat/>
    <w:locked/>
    <w:uiPriority w:val="99"/>
    <w:rPr>
      <w:kern w:val="2"/>
      <w:sz w:val="18"/>
      <w:szCs w:val="18"/>
    </w:rPr>
  </w:style>
  <w:style w:type="character" w:customStyle="1" w:styleId="43">
    <w:name w:val="页脚 字符"/>
    <w:basedOn w:val="28"/>
    <w:link w:val="18"/>
    <w:qFormat/>
    <w:uiPriority w:val="99"/>
    <w:rPr>
      <w:rFonts w:ascii="Times New Roman" w:hAnsi="Times New Roman"/>
      <w:sz w:val="18"/>
      <w:szCs w:val="18"/>
    </w:rPr>
  </w:style>
  <w:style w:type="character" w:customStyle="1" w:styleId="44">
    <w:name w:val="页眉 字符"/>
    <w:basedOn w:val="28"/>
    <w:link w:val="19"/>
    <w:qFormat/>
    <w:uiPriority w:val="99"/>
    <w:rPr>
      <w:rFonts w:ascii="Times New Roman" w:hAnsi="Times New Roman"/>
      <w:sz w:val="18"/>
      <w:szCs w:val="18"/>
    </w:rPr>
  </w:style>
  <w:style w:type="paragraph" w:customStyle="1" w:styleId="45">
    <w:name w:val="Body Text First Indent1"/>
    <w:basedOn w:val="9"/>
    <w:qFormat/>
    <w:uiPriority w:val="0"/>
    <w:pPr>
      <w:tabs>
        <w:tab w:val="left" w:pos="1275"/>
      </w:tabs>
      <w:ind w:firstLine="420" w:firstLineChars="100"/>
    </w:pPr>
  </w:style>
  <w:style w:type="paragraph" w:customStyle="1" w:styleId="46">
    <w:name w:val="表格文字"/>
    <w:basedOn w:val="12"/>
    <w:next w:val="9"/>
    <w:qFormat/>
    <w:uiPriority w:val="0"/>
    <w:pPr>
      <w:spacing w:line="420" w:lineRule="atLeast"/>
      <w:textAlignment w:val="baseline"/>
    </w:pPr>
    <w:rPr>
      <w:rFonts w:ascii="Times New Roman" w:hAnsi="Times New Roman" w:cs="Times New Roman"/>
    </w:rPr>
  </w:style>
  <w:style w:type="paragraph" w:customStyle="1" w:styleId="47">
    <w:name w:val="样式 表格正文 + 两端对齐"/>
    <w:next w:val="48"/>
    <w:qFormat/>
    <w:uiPriority w:val="99"/>
    <w:pPr>
      <w:spacing w:line="300" w:lineRule="auto"/>
    </w:pPr>
    <w:rPr>
      <w:rFonts w:ascii="Times New Roman" w:hAnsi="Times New Roman" w:eastAsia="宋体" w:cs="Times New Roman"/>
      <w:sz w:val="24"/>
      <w:szCs w:val="24"/>
      <w:lang w:val="en-US" w:eastAsia="zh-CN" w:bidi="ar-SA"/>
    </w:rPr>
  </w:style>
  <w:style w:type="paragraph" w:customStyle="1" w:styleId="48">
    <w:name w:val="正文1"/>
    <w:next w:val="49"/>
    <w:qFormat/>
    <w:uiPriority w:val="99"/>
    <w:pPr>
      <w:snapToGrid w:val="0"/>
      <w:spacing w:line="500" w:lineRule="exact"/>
      <w:ind w:firstLine="567"/>
    </w:pPr>
    <w:rPr>
      <w:rFonts w:ascii="楷体_GB2312" w:hAnsi="Times New Roman" w:eastAsia="楷体_GB2312" w:cs="楷体_GB2312"/>
      <w:sz w:val="28"/>
      <w:szCs w:val="28"/>
      <w:lang w:val="en-US" w:eastAsia="zh-CN" w:bidi="ar-SA"/>
    </w:rPr>
  </w:style>
  <w:style w:type="paragraph" w:customStyle="1" w:styleId="49">
    <w:name w:val="自动更正"/>
    <w:next w:val="5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xl39"/>
    <w:next w:val="51"/>
    <w:qFormat/>
    <w:uiPriority w:val="99"/>
    <w:pPr>
      <w:pBdr>
        <w:top w:val="single" w:color="auto" w:sz="4" w:space="0"/>
        <w:bottom w:val="single" w:color="auto" w:sz="4" w:space="0"/>
        <w:right w:val="single" w:color="auto" w:sz="4" w:space="0"/>
      </w:pBdr>
      <w:spacing w:before="100" w:after="100"/>
      <w:textAlignment w:val="center"/>
    </w:pPr>
    <w:rPr>
      <w:rFonts w:ascii="Times New Roman" w:hAnsi="Times New Roman" w:eastAsia="宋体" w:cs="Times New Roman"/>
      <w:lang w:val="en-US" w:eastAsia="zh-CN" w:bidi="ar-SA"/>
    </w:rPr>
  </w:style>
  <w:style w:type="paragraph" w:customStyle="1" w:styleId="51">
    <w:name w:val="分手多日，近况如何？"/>
    <w:qFormat/>
    <w:uiPriority w:val="0"/>
    <w:pPr>
      <w:widowControl w:val="0"/>
      <w:jc w:val="both"/>
    </w:pPr>
    <w:rPr>
      <w:rFonts w:ascii="Times New Roman" w:hAnsi="Times New Roman" w:eastAsia="宋体" w:cs="Times New Roman"/>
      <w:sz w:val="21"/>
      <w:szCs w:val="21"/>
      <w:lang w:val="en-US" w:eastAsia="zh-CN" w:bidi="ar-SA"/>
    </w:rPr>
  </w:style>
  <w:style w:type="paragraph" w:customStyle="1" w:styleId="52">
    <w:name w:val="正文2"/>
    <w:link w:val="73"/>
    <w:qFormat/>
    <w:uiPriority w:val="0"/>
    <w:pPr>
      <w:adjustRightInd w:val="0"/>
      <w:spacing w:before="156" w:line="360" w:lineRule="auto"/>
      <w:ind w:firstLine="510" w:firstLineChars="200"/>
    </w:pPr>
    <w:rPr>
      <w:rFonts w:ascii="Times New Roman" w:hAnsi="Times New Roman" w:eastAsia="宋体" w:cs="Times New Roman"/>
      <w:sz w:val="24"/>
      <w:szCs w:val="24"/>
      <w:lang w:val="en-US" w:eastAsia="zh-CN" w:bidi="ar-SA"/>
    </w:rPr>
  </w:style>
  <w:style w:type="paragraph" w:customStyle="1" w:styleId="53">
    <w:name w:val="List Paragraph1"/>
    <w:qFormat/>
    <w:uiPriority w:val="99"/>
    <w:pPr>
      <w:ind w:firstLine="420" w:firstLineChars="200"/>
    </w:pPr>
    <w:rPr>
      <w:rFonts w:ascii="Calibri" w:hAnsi="Calibri" w:eastAsia="宋体" w:cs="Calibri"/>
      <w:lang w:val="en-US" w:eastAsia="zh-CN" w:bidi="ar-SA"/>
    </w:rPr>
  </w:style>
  <w:style w:type="character" w:customStyle="1" w:styleId="54">
    <w:name w:val="style81"/>
    <w:qFormat/>
    <w:uiPriority w:val="99"/>
    <w:rPr>
      <w:sz w:val="20"/>
      <w:szCs w:val="20"/>
    </w:rPr>
  </w:style>
  <w:style w:type="paragraph" w:customStyle="1" w:styleId="55">
    <w:name w:val="列出段落1"/>
    <w:qFormat/>
    <w:uiPriority w:val="99"/>
    <w:pPr>
      <w:ind w:firstLine="420"/>
    </w:pPr>
    <w:rPr>
      <w:rFonts w:ascii="Times New Roman" w:hAnsi="Times New Roman" w:eastAsia="宋体" w:cs="Times New Roman"/>
      <w:lang w:val="en-US" w:eastAsia="zh-CN" w:bidi="ar-SA"/>
    </w:rPr>
  </w:style>
  <w:style w:type="paragraph" w:customStyle="1" w:styleId="56">
    <w:name w:val="表格"/>
    <w:qFormat/>
    <w:uiPriority w:val="99"/>
    <w:pPr>
      <w:autoSpaceDE w:val="0"/>
      <w:autoSpaceDN w:val="0"/>
      <w:jc w:val="center"/>
      <w:textAlignment w:val="baseline"/>
    </w:pPr>
    <w:rPr>
      <w:rFonts w:ascii="Times New Roman" w:hAnsi="Times New Roman" w:eastAsia="宋体" w:cs="Times New Roman"/>
      <w:color w:val="000000"/>
      <w:lang w:val="en-US" w:eastAsia="zh-CN" w:bidi="ar-SA"/>
    </w:rPr>
  </w:style>
  <w:style w:type="character" w:customStyle="1" w:styleId="57">
    <w:name w:val="02 Char"/>
    <w:link w:val="58"/>
    <w:qFormat/>
    <w:locked/>
    <w:uiPriority w:val="99"/>
    <w:rPr>
      <w:rFonts w:ascii="宋体" w:cs="宋体"/>
      <w:b/>
      <w:bCs/>
      <w:color w:val="FF0000"/>
      <w:kern w:val="2"/>
      <w:sz w:val="28"/>
      <w:szCs w:val="28"/>
    </w:rPr>
  </w:style>
  <w:style w:type="paragraph" w:customStyle="1" w:styleId="58">
    <w:name w:val="02"/>
    <w:basedOn w:val="2"/>
    <w:link w:val="57"/>
    <w:qFormat/>
    <w:uiPriority w:val="99"/>
    <w:pPr>
      <w:jc w:val="center"/>
    </w:pPr>
    <w:rPr>
      <w:color w:val="FF0000"/>
    </w:rPr>
  </w:style>
  <w:style w:type="character" w:customStyle="1" w:styleId="59">
    <w:name w:val="03 Char"/>
    <w:link w:val="60"/>
    <w:qFormat/>
    <w:locked/>
    <w:uiPriority w:val="99"/>
    <w:rPr>
      <w:rFonts w:ascii="宋体" w:cs="宋体"/>
      <w:b/>
      <w:bCs/>
      <w:kern w:val="2"/>
      <w:sz w:val="28"/>
      <w:szCs w:val="28"/>
    </w:rPr>
  </w:style>
  <w:style w:type="paragraph" w:customStyle="1" w:styleId="60">
    <w:name w:val="03"/>
    <w:basedOn w:val="6"/>
    <w:link w:val="59"/>
    <w:qFormat/>
    <w:uiPriority w:val="99"/>
    <w:pPr>
      <w:numPr>
        <w:ilvl w:val="0"/>
        <w:numId w:val="0"/>
      </w:numPr>
    </w:pPr>
  </w:style>
  <w:style w:type="character" w:customStyle="1" w:styleId="61">
    <w:name w:val="宋体小四 Char"/>
    <w:link w:val="62"/>
    <w:qFormat/>
    <w:locked/>
    <w:uiPriority w:val="99"/>
    <w:rPr>
      <w:rFonts w:ascii="宋体" w:eastAsia="宋体" w:cs="宋体"/>
      <w:kern w:val="2"/>
      <w:sz w:val="24"/>
      <w:szCs w:val="24"/>
    </w:rPr>
  </w:style>
  <w:style w:type="paragraph" w:customStyle="1" w:styleId="62">
    <w:name w:val="宋体小四"/>
    <w:link w:val="61"/>
    <w:qFormat/>
    <w:uiPriority w:val="99"/>
    <w:pPr>
      <w:spacing w:line="360" w:lineRule="auto"/>
      <w:ind w:firstLine="480" w:firstLineChars="200"/>
    </w:pPr>
    <w:rPr>
      <w:rFonts w:ascii="宋体" w:hAnsi="宋体" w:eastAsia="宋体" w:cs="宋体"/>
      <w:sz w:val="24"/>
      <w:szCs w:val="24"/>
      <w:lang w:val="en-US" w:eastAsia="zh-CN" w:bidi="ar-SA"/>
    </w:rPr>
  </w:style>
  <w:style w:type="character" w:customStyle="1" w:styleId="63">
    <w:name w:val="fontstyle01"/>
    <w:basedOn w:val="28"/>
    <w:qFormat/>
    <w:uiPriority w:val="99"/>
    <w:rPr>
      <w:rFonts w:ascii="宋体" w:eastAsia="宋体" w:cs="宋体"/>
      <w:color w:val="000000"/>
      <w:sz w:val="22"/>
      <w:szCs w:val="22"/>
    </w:rPr>
  </w:style>
  <w:style w:type="paragraph" w:customStyle="1" w:styleId="64">
    <w:name w:val="正文首行缩进2字符"/>
    <w:qFormat/>
    <w:uiPriority w:val="99"/>
    <w:pPr>
      <w:spacing w:line="360" w:lineRule="auto"/>
      <w:ind w:firstLine="200" w:firstLineChars="200"/>
    </w:pPr>
    <w:rPr>
      <w:rFonts w:ascii="Times New Roman" w:hAnsi="Times New Roman" w:eastAsia="宋体" w:cs="Times New Roman"/>
      <w:lang w:val="en-US" w:eastAsia="zh-CN" w:bidi="ar-SA"/>
    </w:rPr>
  </w:style>
  <w:style w:type="paragraph" w:customStyle="1" w:styleId="65">
    <w:name w:val="居中表格内容标题"/>
    <w:basedOn w:val="66"/>
    <w:qFormat/>
    <w:uiPriority w:val="0"/>
    <w:pPr>
      <w:jc w:val="center"/>
    </w:pPr>
    <w:rPr>
      <w:b/>
    </w:rPr>
  </w:style>
  <w:style w:type="paragraph" w:customStyle="1" w:styleId="66">
    <w:name w:val="居中表格内容"/>
    <w:qFormat/>
    <w:uiPriority w:val="0"/>
    <w:rPr>
      <w:rFonts w:ascii="Times New Roman" w:hAnsi="Times New Roman" w:eastAsia="宋体" w:cs="Times New Roman"/>
      <w:szCs w:val="28"/>
      <w:lang w:val="en-US" w:eastAsia="zh-CN" w:bidi="ar-SA"/>
    </w:rPr>
  </w:style>
  <w:style w:type="paragraph" w:styleId="67">
    <w:name w:val="List Paragraph"/>
    <w:link w:val="68"/>
    <w:qFormat/>
    <w:uiPriority w:val="34"/>
    <w:pPr>
      <w:ind w:firstLine="420" w:firstLineChars="200"/>
    </w:pPr>
    <w:rPr>
      <w:rFonts w:ascii="Times New Roman" w:hAnsi="Times New Roman" w:eastAsia="宋体" w:cs="Times New Roman"/>
      <w:lang w:val="en-US" w:eastAsia="zh-CN" w:bidi="ar-SA"/>
    </w:rPr>
  </w:style>
  <w:style w:type="character" w:customStyle="1" w:styleId="68">
    <w:name w:val="列表段落 字符"/>
    <w:basedOn w:val="28"/>
    <w:link w:val="67"/>
    <w:qFormat/>
    <w:uiPriority w:val="34"/>
  </w:style>
  <w:style w:type="table" w:customStyle="1" w:styleId="69">
    <w:name w:val="网格型浅色1"/>
    <w:basedOn w:val="2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70">
    <w:name w:val="正文（首行缩进2字符）"/>
    <w:basedOn w:val="1"/>
    <w:qFormat/>
    <w:uiPriority w:val="0"/>
    <w:pPr>
      <w:spacing w:line="360" w:lineRule="auto"/>
      <w:ind w:firstLine="480" w:firstLineChars="200"/>
    </w:pPr>
    <w:rPr>
      <w:kern w:val="2"/>
      <w:sz w:val="24"/>
    </w:rPr>
  </w:style>
  <w:style w:type="paragraph" w:customStyle="1" w:styleId="71">
    <w:name w:val="标准正文格式"/>
    <w:basedOn w:val="1"/>
    <w:qFormat/>
    <w:uiPriority w:val="0"/>
    <w:pPr>
      <w:adjustRightInd w:val="0"/>
      <w:spacing w:before="60" w:after="120" w:line="360" w:lineRule="auto"/>
      <w:ind w:firstLine="200" w:firstLineChars="200"/>
      <w:textAlignment w:val="baseline"/>
    </w:pPr>
    <w:rPr>
      <w:rFonts w:ascii="宋体" w:eastAsia="仿宋_GB2312" w:cs="宋体" w:hAnsiTheme="minorHAnsi"/>
      <w:color w:val="000000"/>
      <w:kern w:val="2"/>
      <w:sz w:val="24"/>
    </w:rPr>
  </w:style>
  <w:style w:type="character" w:customStyle="1" w:styleId="72">
    <w:name w:val="纯文本 Char1"/>
    <w:qFormat/>
    <w:uiPriority w:val="99"/>
    <w:rPr>
      <w:rFonts w:ascii="宋体" w:hAnsi="Courier New" w:eastAsia="宋体"/>
      <w:kern w:val="2"/>
      <w:sz w:val="24"/>
      <w:szCs w:val="24"/>
      <w:lang w:val="en-US" w:eastAsia="zh-CN" w:bidi="ar-SA"/>
    </w:rPr>
  </w:style>
  <w:style w:type="character" w:customStyle="1" w:styleId="73">
    <w:name w:val="正文2 Char Char"/>
    <w:link w:val="52"/>
    <w:qFormat/>
    <w:uiPriority w:val="0"/>
    <w:rPr>
      <w:sz w:val="24"/>
      <w:szCs w:val="24"/>
    </w:rPr>
  </w:style>
  <w:style w:type="character" w:customStyle="1" w:styleId="74">
    <w:name w:val="正文缩进 字符"/>
    <w:link w:val="3"/>
    <w:qFormat/>
    <w:uiPriority w:val="0"/>
  </w:style>
  <w:style w:type="character" w:customStyle="1" w:styleId="75">
    <w:name w:val="15"/>
    <w:qFormat/>
    <w:uiPriority w:val="0"/>
    <w:rPr>
      <w:rFonts w:hint="default" w:ascii="Times New Roman" w:hAnsi="Times New Roman" w:cs="Times New Roman"/>
      <w:color w:val="0000FF"/>
      <w:sz w:val="24"/>
      <w:szCs w:val="20"/>
      <w:u w:val="single"/>
    </w:rPr>
  </w:style>
  <w:style w:type="character" w:customStyle="1" w:styleId="76">
    <w:name w:val="font41"/>
    <w:basedOn w:val="28"/>
    <w:qFormat/>
    <w:uiPriority w:val="0"/>
    <w:rPr>
      <w:rFonts w:hint="eastAsia" w:ascii="宋体" w:hAnsi="宋体" w:eastAsia="宋体" w:cs="宋体"/>
      <w:color w:val="000000"/>
      <w:sz w:val="24"/>
      <w:szCs w:val="24"/>
      <w:u w:val="none"/>
    </w:rPr>
  </w:style>
  <w:style w:type="character" w:customStyle="1" w:styleId="77">
    <w:name w:val="font121"/>
    <w:basedOn w:val="28"/>
    <w:qFormat/>
    <w:uiPriority w:val="0"/>
    <w:rPr>
      <w:rFonts w:hint="default" w:ascii="Times New Roman" w:hAnsi="Times New Roman" w:cs="Times New Roman"/>
      <w:color w:val="000000"/>
      <w:sz w:val="24"/>
      <w:szCs w:val="24"/>
      <w:u w:val="none"/>
    </w:rPr>
  </w:style>
  <w:style w:type="character" w:customStyle="1" w:styleId="78">
    <w:name w:val="font11"/>
    <w:basedOn w:val="28"/>
    <w:qFormat/>
    <w:uiPriority w:val="0"/>
    <w:rPr>
      <w:rFonts w:hint="eastAsia" w:ascii="宋体" w:hAnsi="宋体" w:eastAsia="宋体" w:cs="宋体"/>
      <w:color w:val="000000"/>
      <w:sz w:val="22"/>
      <w:szCs w:val="22"/>
      <w:u w:val="none"/>
    </w:rPr>
  </w:style>
  <w:style w:type="character" w:customStyle="1" w:styleId="79">
    <w:name w:val="font71"/>
    <w:basedOn w:val="28"/>
    <w:qFormat/>
    <w:uiPriority w:val="0"/>
    <w:rPr>
      <w:rFonts w:hint="default" w:ascii="Times New Roman" w:hAnsi="Times New Roman" w:cs="Times New Roman"/>
      <w:color w:val="000000"/>
      <w:sz w:val="22"/>
      <w:szCs w:val="22"/>
      <w:u w:val="none"/>
    </w:rPr>
  </w:style>
  <w:style w:type="character" w:customStyle="1" w:styleId="80">
    <w:name w:val="正文文本首行缩进 2 字符"/>
    <w:basedOn w:val="39"/>
    <w:link w:val="24"/>
    <w:qFormat/>
    <w:uiPriority w:val="99"/>
    <w:rPr>
      <w:rFonts w:ascii="宋体" w:hAnsi="宋体" w:cs="宋体"/>
      <w:sz w:val="24"/>
      <w:szCs w:val="24"/>
    </w:rPr>
  </w:style>
  <w:style w:type="paragraph" w:customStyle="1" w:styleId="81">
    <w:name w:val="正文_4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theme" Target="theme/theme1.xml"/><Relationship Id="rId69" Type="http://schemas.openxmlformats.org/officeDocument/2006/relationships/customXml" Target="../customXml/item1.xml"/><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3.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header" Target="head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58</Pages>
  <Words>28936</Words>
  <Characters>31511</Characters>
  <Lines>292</Lines>
  <Paragraphs>82</Paragraphs>
  <TotalTime>0</TotalTime>
  <ScaleCrop>false</ScaleCrop>
  <LinksUpToDate>false</LinksUpToDate>
  <CharactersWithSpaces>32927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2022-08-11T07:22:00Z</dcterms:created>
  <dc:creator>邹</dc:creator>
  <cp:lastModifiedBy>Administrator</cp:lastModifiedBy>
  <cp:lastPrinted>2022-08-19T09:03:00Z</cp:lastPrinted>
  <dcterms:modified xsi:type="dcterms:W3CDTF">2024-03-12T00:47:03Z</dcterms:modified>
  <dc:title>渣土资源利用桩基检测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942172EA924F43F0961F7917098C7761</vt:lpwstr>
  </property>
</Properties>
</file>