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cs="Times New Roman"/>
        </w:rPr>
      </w:pPr>
    </w:p>
    <w:p>
      <w:pPr>
        <w:jc w:val="center"/>
        <w:rPr>
          <w:rFonts w:ascii="宋体"/>
          <w:b/>
          <w:bCs/>
          <w:sz w:val="44"/>
          <w:szCs w:val="44"/>
        </w:rPr>
      </w:pPr>
      <w:r>
        <w:rPr>
          <w:rFonts w:hint="eastAsia" w:ascii="宋体" w:hAnsi="宋体" w:cs="宋体"/>
          <w:b/>
          <w:bCs/>
          <w:sz w:val="44"/>
          <w:szCs w:val="44"/>
        </w:rPr>
        <w:t>曹娥江上虞河段精细化水文预报项目</w:t>
      </w:r>
    </w:p>
    <w:p>
      <w:pPr>
        <w:pStyle w:val="5"/>
        <w:rPr>
          <w:rFonts w:ascii="宋体"/>
          <w:b/>
          <w:bCs/>
          <w:sz w:val="44"/>
          <w:szCs w:val="44"/>
        </w:rPr>
      </w:pPr>
    </w:p>
    <w:p>
      <w:pPr>
        <w:pStyle w:val="5"/>
        <w:rPr>
          <w:rFonts w:ascii="宋体"/>
          <w:b/>
          <w:bCs/>
          <w:sz w:val="44"/>
          <w:szCs w:val="44"/>
        </w:rPr>
      </w:pPr>
    </w:p>
    <w:p>
      <w:pPr>
        <w:pStyle w:val="5"/>
        <w:rPr>
          <w:rFonts w:ascii="宋体"/>
          <w:b/>
          <w:bCs/>
          <w:sz w:val="44"/>
          <w:szCs w:val="44"/>
        </w:rPr>
      </w:pPr>
    </w:p>
    <w:p/>
    <w:p>
      <w:pPr>
        <w:pStyle w:val="5"/>
        <w:rPr>
          <w:rFonts w:ascii="宋体"/>
          <w:b/>
          <w:bCs/>
          <w:sz w:val="44"/>
          <w:szCs w:val="44"/>
        </w:rPr>
      </w:pPr>
    </w:p>
    <w:p>
      <w:pPr>
        <w:pStyle w:val="5"/>
      </w:pPr>
    </w:p>
    <w:p>
      <w:pPr>
        <w:spacing w:line="360" w:lineRule="auto"/>
        <w:jc w:val="center"/>
        <w:rPr>
          <w:rFonts w:ascii="宋体"/>
          <w:b/>
          <w:bCs/>
          <w:sz w:val="24"/>
          <w:szCs w:val="24"/>
        </w:rPr>
      </w:pPr>
      <w:r>
        <w:rPr>
          <w:rFonts w:hint="eastAsia" w:ascii="宋体" w:hAnsi="宋体" w:cs="宋体"/>
          <w:b/>
          <w:bCs/>
          <w:sz w:val="72"/>
          <w:szCs w:val="72"/>
        </w:rPr>
        <w:t>竞争性磋商文件</w:t>
      </w:r>
    </w:p>
    <w:p>
      <w:pPr>
        <w:spacing w:line="360" w:lineRule="auto"/>
        <w:jc w:val="center"/>
        <w:rPr>
          <w:rFonts w:ascii="宋体"/>
          <w:b/>
          <w:bCs/>
          <w:sz w:val="24"/>
          <w:szCs w:val="24"/>
        </w:rPr>
      </w:pPr>
    </w:p>
    <w:p>
      <w:pPr>
        <w:snapToGrid w:val="0"/>
        <w:spacing w:line="360" w:lineRule="auto"/>
        <w:ind w:firstLine="2301" w:firstLineChars="767"/>
        <w:jc w:val="left"/>
        <w:rPr>
          <w:rFonts w:ascii="宋体"/>
          <w:sz w:val="30"/>
          <w:szCs w:val="30"/>
          <w:u w:val="single"/>
        </w:rPr>
      </w:pPr>
      <w:r>
        <w:rPr>
          <w:rFonts w:hint="eastAsia" w:ascii="宋体" w:hAnsi="宋体" w:cs="宋体"/>
          <w:sz w:val="30"/>
          <w:szCs w:val="30"/>
        </w:rPr>
        <w:t>项目编号：</w:t>
      </w:r>
      <w:r>
        <w:rPr>
          <w:rFonts w:hint="eastAsia" w:ascii="宋体" w:hAnsi="宋体" w:cs="宋体"/>
          <w:sz w:val="30"/>
          <w:szCs w:val="30"/>
          <w:u w:val="single"/>
        </w:rPr>
        <w:t>FSJZCS2023026</w:t>
      </w:r>
    </w:p>
    <w:p>
      <w:pPr>
        <w:snapToGrid w:val="0"/>
        <w:spacing w:line="360" w:lineRule="auto"/>
        <w:ind w:firstLine="2301" w:firstLineChars="767"/>
        <w:jc w:val="left"/>
        <w:rPr>
          <w:rFonts w:ascii="宋体"/>
          <w:sz w:val="30"/>
          <w:szCs w:val="30"/>
        </w:rPr>
      </w:pPr>
    </w:p>
    <w:p>
      <w:pPr>
        <w:spacing w:line="360" w:lineRule="auto"/>
        <w:rPr>
          <w:rFonts w:ascii="宋体"/>
          <w:sz w:val="28"/>
          <w:szCs w:val="28"/>
        </w:rPr>
      </w:pPr>
    </w:p>
    <w:p>
      <w:pPr>
        <w:spacing w:line="480" w:lineRule="auto"/>
        <w:jc w:val="center"/>
        <w:rPr>
          <w:rFonts w:ascii="宋体"/>
          <w:sz w:val="24"/>
          <w:szCs w:val="24"/>
        </w:rPr>
      </w:pPr>
    </w:p>
    <w:p>
      <w:pPr>
        <w:spacing w:line="480" w:lineRule="auto"/>
        <w:jc w:val="center"/>
        <w:rPr>
          <w:rFonts w:ascii="宋体"/>
          <w:sz w:val="24"/>
          <w:szCs w:val="24"/>
        </w:rPr>
      </w:pPr>
    </w:p>
    <w:p>
      <w:pPr>
        <w:spacing w:line="480" w:lineRule="auto"/>
        <w:jc w:val="center"/>
        <w:rPr>
          <w:rFonts w:ascii="宋体"/>
          <w:sz w:val="24"/>
          <w:szCs w:val="24"/>
        </w:rPr>
      </w:pPr>
    </w:p>
    <w:p>
      <w:pPr>
        <w:spacing w:line="480" w:lineRule="auto"/>
      </w:pPr>
    </w:p>
    <w:p>
      <w:pPr>
        <w:spacing w:line="480" w:lineRule="auto"/>
        <w:jc w:val="center"/>
        <w:rPr>
          <w:rFonts w:ascii="宋体"/>
          <w:sz w:val="24"/>
          <w:szCs w:val="24"/>
        </w:rPr>
      </w:pPr>
    </w:p>
    <w:p>
      <w:pPr>
        <w:spacing w:line="480" w:lineRule="auto"/>
        <w:jc w:val="center"/>
        <w:rPr>
          <w:rFonts w:ascii="宋体"/>
          <w:sz w:val="24"/>
          <w:szCs w:val="24"/>
        </w:rPr>
      </w:pPr>
    </w:p>
    <w:p>
      <w:pPr>
        <w:snapToGrid w:val="0"/>
        <w:spacing w:line="360" w:lineRule="auto"/>
        <w:jc w:val="center"/>
        <w:rPr>
          <w:rFonts w:ascii="宋体"/>
          <w:u w:val="single"/>
        </w:rPr>
      </w:pPr>
      <w:r>
        <w:rPr>
          <w:rFonts w:hint="eastAsia" w:ascii="宋体" w:hAnsi="宋体" w:cs="宋体"/>
          <w:sz w:val="30"/>
          <w:szCs w:val="30"/>
        </w:rPr>
        <w:t>采购人：绍兴市上虞区水文站</w:t>
      </w:r>
    </w:p>
    <w:p>
      <w:pPr>
        <w:snapToGrid w:val="0"/>
        <w:spacing w:line="360" w:lineRule="auto"/>
        <w:jc w:val="center"/>
        <w:rPr>
          <w:rFonts w:ascii="宋体"/>
          <w:sz w:val="30"/>
          <w:szCs w:val="30"/>
        </w:rPr>
      </w:pPr>
      <w:r>
        <w:rPr>
          <w:rFonts w:hint="eastAsia" w:ascii="宋体" w:hAnsi="宋体" w:cs="宋体"/>
          <w:sz w:val="30"/>
          <w:szCs w:val="30"/>
        </w:rPr>
        <w:t>采购代理机构：浙江天平项目咨询有限公司</w:t>
      </w:r>
    </w:p>
    <w:p>
      <w:pPr>
        <w:jc w:val="center"/>
        <w:rPr>
          <w:rFonts w:ascii="宋体"/>
          <w:sz w:val="30"/>
          <w:szCs w:val="30"/>
        </w:rPr>
        <w:sectPr>
          <w:pgSz w:w="11906" w:h="16838"/>
          <w:pgMar w:top="1440" w:right="1800" w:bottom="1440" w:left="1800" w:header="851" w:footer="992" w:gutter="0"/>
          <w:cols w:space="425" w:num="1"/>
          <w:docGrid w:type="lines" w:linePitch="312" w:charSpace="0"/>
        </w:sectPr>
      </w:pPr>
      <w:r>
        <w:rPr>
          <w:rFonts w:hint="eastAsia" w:ascii="宋体" w:hAnsi="宋体" w:cs="宋体"/>
          <w:sz w:val="30"/>
          <w:szCs w:val="30"/>
        </w:rPr>
        <w:t xml:space="preserve"> </w:t>
      </w:r>
    </w:p>
    <w:p>
      <w:pPr>
        <w:spacing w:line="360" w:lineRule="auto"/>
        <w:jc w:val="center"/>
        <w:rPr>
          <w:rFonts w:ascii="宋体" w:hAnsi="宋体" w:cs="宋体"/>
          <w:sz w:val="28"/>
          <w:szCs w:val="28"/>
        </w:rPr>
      </w:pPr>
      <w:r>
        <w:rPr>
          <w:rFonts w:hint="eastAsia" w:ascii="宋体" w:hAnsi="宋体" w:cs="宋体"/>
          <w:sz w:val="28"/>
          <w:szCs w:val="28"/>
        </w:rPr>
        <w:t>目 录</w:t>
      </w:r>
    </w:p>
    <w:p>
      <w:pPr>
        <w:pStyle w:val="17"/>
        <w:tabs>
          <w:tab w:val="right" w:leader="dot" w:pos="8306"/>
        </w:tabs>
        <w:spacing w:line="360" w:lineRule="auto"/>
      </w:pPr>
      <w:r>
        <w:rPr>
          <w:rFonts w:hint="eastAsia" w:ascii="宋体" w:hAnsi="宋体" w:cs="宋体"/>
          <w:sz w:val="28"/>
          <w:szCs w:val="28"/>
        </w:rPr>
        <w:fldChar w:fldCharType="begin"/>
      </w:r>
      <w:r>
        <w:rPr>
          <w:rFonts w:hint="eastAsia" w:ascii="宋体" w:hAnsi="宋体" w:cs="宋体"/>
          <w:sz w:val="28"/>
          <w:szCs w:val="28"/>
        </w:rPr>
        <w:instrText xml:space="preserve">TOC \o "1-3" \h \u </w:instrText>
      </w:r>
      <w:r>
        <w:rPr>
          <w:rFonts w:hint="eastAsia" w:ascii="宋体" w:hAnsi="宋体" w:cs="宋体"/>
          <w:sz w:val="28"/>
          <w:szCs w:val="28"/>
        </w:rPr>
        <w:fldChar w:fldCharType="separate"/>
      </w:r>
      <w:r>
        <w:fldChar w:fldCharType="begin"/>
      </w:r>
      <w:r>
        <w:instrText xml:space="preserve"> HYPERLINK \l "_Toc28175" </w:instrText>
      </w:r>
      <w:r>
        <w:fldChar w:fldCharType="separate"/>
      </w:r>
      <w:r>
        <w:rPr>
          <w:rFonts w:hint="eastAsia" w:cs="宋体"/>
          <w:szCs w:val="36"/>
        </w:rPr>
        <w:t>第一部分</w:t>
      </w:r>
      <w:r>
        <w:rPr>
          <w:szCs w:val="36"/>
        </w:rPr>
        <w:t xml:space="preserve"> </w:t>
      </w:r>
      <w:r>
        <w:rPr>
          <w:rFonts w:hint="eastAsia" w:cs="宋体"/>
          <w:szCs w:val="36"/>
        </w:rPr>
        <w:t>磋商公告</w:t>
      </w:r>
      <w:r>
        <w:tab/>
      </w:r>
      <w:r>
        <w:fldChar w:fldCharType="begin"/>
      </w:r>
      <w:r>
        <w:instrText xml:space="preserve"> PAGEREF _Toc28175 \h </w:instrText>
      </w:r>
      <w:r>
        <w:fldChar w:fldCharType="separate"/>
      </w:r>
      <w:r>
        <w:t>1</w:t>
      </w:r>
      <w:r>
        <w:fldChar w:fldCharType="end"/>
      </w:r>
      <w:r>
        <w:fldChar w:fldCharType="end"/>
      </w:r>
    </w:p>
    <w:p>
      <w:pPr>
        <w:pStyle w:val="17"/>
        <w:tabs>
          <w:tab w:val="right" w:leader="dot" w:pos="8306"/>
        </w:tabs>
        <w:spacing w:line="360" w:lineRule="auto"/>
      </w:pPr>
      <w:r>
        <w:fldChar w:fldCharType="begin"/>
      </w:r>
      <w:r>
        <w:instrText xml:space="preserve"> HYPERLINK \l "_Toc29876" </w:instrText>
      </w:r>
      <w:r>
        <w:fldChar w:fldCharType="separate"/>
      </w:r>
      <w:r>
        <w:rPr>
          <w:rFonts w:hint="eastAsia" w:cs="宋体"/>
          <w:szCs w:val="36"/>
        </w:rPr>
        <w:t>第二部分</w:t>
      </w:r>
      <w:r>
        <w:rPr>
          <w:szCs w:val="36"/>
        </w:rPr>
        <w:t xml:space="preserve"> </w:t>
      </w:r>
      <w:r>
        <w:rPr>
          <w:rFonts w:hint="eastAsia" w:cs="宋体"/>
          <w:szCs w:val="36"/>
        </w:rPr>
        <w:t>供应商须知</w:t>
      </w:r>
      <w:r>
        <w:tab/>
      </w:r>
      <w:r>
        <w:fldChar w:fldCharType="begin"/>
      </w:r>
      <w:r>
        <w:instrText xml:space="preserve"> PAGEREF _Toc29876 \h </w:instrText>
      </w:r>
      <w:r>
        <w:fldChar w:fldCharType="separate"/>
      </w:r>
      <w:r>
        <w:t>5</w:t>
      </w:r>
      <w:r>
        <w:fldChar w:fldCharType="end"/>
      </w:r>
      <w:r>
        <w:fldChar w:fldCharType="end"/>
      </w:r>
    </w:p>
    <w:p>
      <w:pPr>
        <w:pStyle w:val="19"/>
        <w:tabs>
          <w:tab w:val="right" w:leader="dot" w:pos="8306"/>
        </w:tabs>
        <w:spacing w:line="360" w:lineRule="auto"/>
      </w:pPr>
      <w:r>
        <w:fldChar w:fldCharType="begin"/>
      </w:r>
      <w:r>
        <w:instrText xml:space="preserve"> HYPERLINK \l "_Toc6389" </w:instrText>
      </w:r>
      <w:r>
        <w:fldChar w:fldCharType="separate"/>
      </w:r>
      <w:r>
        <w:rPr>
          <w:rFonts w:hint="eastAsia" w:hAnsi="宋体"/>
        </w:rPr>
        <w:t>一、 总则</w:t>
      </w:r>
      <w:r>
        <w:tab/>
      </w:r>
      <w:r>
        <w:fldChar w:fldCharType="begin"/>
      </w:r>
      <w:r>
        <w:instrText xml:space="preserve"> PAGEREF _Toc6389 \h </w:instrText>
      </w:r>
      <w:r>
        <w:fldChar w:fldCharType="separate"/>
      </w:r>
      <w:r>
        <w:t>9</w:t>
      </w:r>
      <w:r>
        <w:fldChar w:fldCharType="end"/>
      </w:r>
      <w:r>
        <w:fldChar w:fldCharType="end"/>
      </w:r>
    </w:p>
    <w:p>
      <w:pPr>
        <w:pStyle w:val="19"/>
        <w:tabs>
          <w:tab w:val="right" w:leader="dot" w:pos="8306"/>
        </w:tabs>
        <w:spacing w:line="360" w:lineRule="auto"/>
      </w:pPr>
      <w:r>
        <w:fldChar w:fldCharType="begin"/>
      </w:r>
      <w:r>
        <w:instrText xml:space="preserve"> HYPERLINK \l "_Toc23316" </w:instrText>
      </w:r>
      <w:r>
        <w:fldChar w:fldCharType="separate"/>
      </w:r>
      <w:r>
        <w:rPr>
          <w:rFonts w:hint="eastAsia"/>
        </w:rPr>
        <w:t>二、 竞争性磋商文件</w:t>
      </w:r>
      <w:r>
        <w:tab/>
      </w:r>
      <w:r>
        <w:fldChar w:fldCharType="begin"/>
      </w:r>
      <w:r>
        <w:instrText xml:space="preserve"> PAGEREF _Toc23316 \h </w:instrText>
      </w:r>
      <w:r>
        <w:fldChar w:fldCharType="separate"/>
      </w:r>
      <w:r>
        <w:t>9</w:t>
      </w:r>
      <w:r>
        <w:fldChar w:fldCharType="end"/>
      </w:r>
      <w:r>
        <w:fldChar w:fldCharType="end"/>
      </w:r>
    </w:p>
    <w:p>
      <w:pPr>
        <w:pStyle w:val="19"/>
        <w:tabs>
          <w:tab w:val="right" w:leader="dot" w:pos="8306"/>
        </w:tabs>
        <w:spacing w:line="360" w:lineRule="auto"/>
      </w:pPr>
      <w:r>
        <w:fldChar w:fldCharType="begin"/>
      </w:r>
      <w:r>
        <w:instrText xml:space="preserve"> HYPERLINK \l "_Toc16831" </w:instrText>
      </w:r>
      <w:r>
        <w:fldChar w:fldCharType="separate"/>
      </w:r>
      <w:r>
        <w:rPr>
          <w:rFonts w:hint="eastAsia"/>
        </w:rPr>
        <w:t>三、 竞争性磋商响应文件的编写</w:t>
      </w:r>
      <w:r>
        <w:tab/>
      </w:r>
      <w:r>
        <w:fldChar w:fldCharType="begin"/>
      </w:r>
      <w:r>
        <w:instrText xml:space="preserve"> PAGEREF _Toc16831 \h </w:instrText>
      </w:r>
      <w:r>
        <w:fldChar w:fldCharType="separate"/>
      </w:r>
      <w:r>
        <w:t>10</w:t>
      </w:r>
      <w:r>
        <w:fldChar w:fldCharType="end"/>
      </w:r>
      <w:r>
        <w:fldChar w:fldCharType="end"/>
      </w:r>
    </w:p>
    <w:p>
      <w:pPr>
        <w:pStyle w:val="19"/>
        <w:tabs>
          <w:tab w:val="right" w:leader="dot" w:pos="8306"/>
        </w:tabs>
        <w:spacing w:line="360" w:lineRule="auto"/>
      </w:pPr>
      <w:r>
        <w:fldChar w:fldCharType="begin"/>
      </w:r>
      <w:r>
        <w:instrText xml:space="preserve"> HYPERLINK \l "_Toc6552" </w:instrText>
      </w:r>
      <w:r>
        <w:fldChar w:fldCharType="separate"/>
      </w:r>
      <w:r>
        <w:rPr>
          <w:rFonts w:hint="eastAsia"/>
        </w:rPr>
        <w:t>四、 响应文件的递交</w:t>
      </w:r>
      <w:r>
        <w:tab/>
      </w:r>
      <w:r>
        <w:fldChar w:fldCharType="begin"/>
      </w:r>
      <w:r>
        <w:instrText xml:space="preserve"> PAGEREF _Toc6552 \h </w:instrText>
      </w:r>
      <w:r>
        <w:fldChar w:fldCharType="separate"/>
      </w:r>
      <w:r>
        <w:t>13</w:t>
      </w:r>
      <w:r>
        <w:fldChar w:fldCharType="end"/>
      </w:r>
      <w:r>
        <w:fldChar w:fldCharType="end"/>
      </w:r>
    </w:p>
    <w:p>
      <w:pPr>
        <w:pStyle w:val="19"/>
        <w:tabs>
          <w:tab w:val="right" w:leader="dot" w:pos="8306"/>
        </w:tabs>
        <w:spacing w:line="360" w:lineRule="auto"/>
      </w:pPr>
      <w:r>
        <w:fldChar w:fldCharType="begin"/>
      </w:r>
      <w:r>
        <w:instrText xml:space="preserve"> HYPERLINK \l "_Toc30131" </w:instrText>
      </w:r>
      <w:r>
        <w:fldChar w:fldCharType="separate"/>
      </w:r>
      <w:r>
        <w:rPr>
          <w:rFonts w:hint="eastAsia" w:hAnsi="宋体"/>
        </w:rPr>
        <w:t xml:space="preserve">五、 </w:t>
      </w:r>
      <w:r>
        <w:rPr>
          <w:rFonts w:hint="eastAsia"/>
        </w:rPr>
        <w:t>磋商无效的情形</w:t>
      </w:r>
      <w:r>
        <w:tab/>
      </w:r>
      <w:r>
        <w:fldChar w:fldCharType="begin"/>
      </w:r>
      <w:r>
        <w:instrText xml:space="preserve"> PAGEREF _Toc30131 \h </w:instrText>
      </w:r>
      <w:r>
        <w:fldChar w:fldCharType="separate"/>
      </w:r>
      <w:r>
        <w:t>14</w:t>
      </w:r>
      <w:r>
        <w:fldChar w:fldCharType="end"/>
      </w:r>
      <w:r>
        <w:fldChar w:fldCharType="end"/>
      </w:r>
    </w:p>
    <w:p>
      <w:pPr>
        <w:pStyle w:val="19"/>
        <w:tabs>
          <w:tab w:val="right" w:leader="dot" w:pos="8306"/>
        </w:tabs>
        <w:spacing w:line="360" w:lineRule="auto"/>
      </w:pPr>
      <w:r>
        <w:fldChar w:fldCharType="begin"/>
      </w:r>
      <w:r>
        <w:instrText xml:space="preserve"> HYPERLINK \l "_Toc24795" </w:instrText>
      </w:r>
      <w:r>
        <w:fldChar w:fldCharType="separate"/>
      </w:r>
      <w:r>
        <w:rPr>
          <w:rFonts w:hint="eastAsia"/>
        </w:rPr>
        <w:t>六、 采购中止的情形</w:t>
      </w:r>
      <w:r>
        <w:tab/>
      </w:r>
      <w:r>
        <w:fldChar w:fldCharType="begin"/>
      </w:r>
      <w:r>
        <w:instrText xml:space="preserve"> PAGEREF _Toc24795 \h </w:instrText>
      </w:r>
      <w:r>
        <w:fldChar w:fldCharType="separate"/>
      </w:r>
      <w:r>
        <w:t>15</w:t>
      </w:r>
      <w:r>
        <w:fldChar w:fldCharType="end"/>
      </w:r>
      <w:r>
        <w:fldChar w:fldCharType="end"/>
      </w:r>
    </w:p>
    <w:p>
      <w:pPr>
        <w:pStyle w:val="19"/>
        <w:tabs>
          <w:tab w:val="right" w:leader="dot" w:pos="8306"/>
        </w:tabs>
        <w:spacing w:line="360" w:lineRule="auto"/>
      </w:pPr>
      <w:r>
        <w:fldChar w:fldCharType="begin"/>
      </w:r>
      <w:r>
        <w:instrText xml:space="preserve"> HYPERLINK \l "_Toc25002" </w:instrText>
      </w:r>
      <w:r>
        <w:fldChar w:fldCharType="separate"/>
      </w:r>
      <w:r>
        <w:rPr>
          <w:rFonts w:hint="eastAsia"/>
        </w:rPr>
        <w:t>七、 确定成交供应商与签订合同</w:t>
      </w:r>
      <w:r>
        <w:tab/>
      </w:r>
      <w:r>
        <w:fldChar w:fldCharType="begin"/>
      </w:r>
      <w:r>
        <w:instrText xml:space="preserve"> PAGEREF _Toc25002 \h </w:instrText>
      </w:r>
      <w:r>
        <w:fldChar w:fldCharType="separate"/>
      </w:r>
      <w:r>
        <w:t>16</w:t>
      </w:r>
      <w:r>
        <w:fldChar w:fldCharType="end"/>
      </w:r>
      <w:r>
        <w:fldChar w:fldCharType="end"/>
      </w:r>
    </w:p>
    <w:p>
      <w:pPr>
        <w:pStyle w:val="17"/>
        <w:tabs>
          <w:tab w:val="right" w:leader="dot" w:pos="8306"/>
        </w:tabs>
        <w:spacing w:line="360" w:lineRule="auto"/>
      </w:pPr>
      <w:r>
        <w:fldChar w:fldCharType="begin"/>
      </w:r>
      <w:r>
        <w:instrText xml:space="preserve"> HYPERLINK \l "_Toc5722" </w:instrText>
      </w:r>
      <w:r>
        <w:fldChar w:fldCharType="separate"/>
      </w:r>
      <w:r>
        <w:rPr>
          <w:rFonts w:hint="eastAsia" w:cs="宋体"/>
          <w:szCs w:val="36"/>
        </w:rPr>
        <w:t>第三部分 采购内容及要求</w:t>
      </w:r>
      <w:r>
        <w:tab/>
      </w:r>
      <w:r>
        <w:fldChar w:fldCharType="begin"/>
      </w:r>
      <w:r>
        <w:instrText xml:space="preserve"> PAGEREF _Toc5722 \h </w:instrText>
      </w:r>
      <w:r>
        <w:fldChar w:fldCharType="separate"/>
      </w:r>
      <w:r>
        <w:t>17</w:t>
      </w:r>
      <w:r>
        <w:fldChar w:fldCharType="end"/>
      </w:r>
      <w:r>
        <w:fldChar w:fldCharType="end"/>
      </w:r>
    </w:p>
    <w:p>
      <w:pPr>
        <w:pStyle w:val="19"/>
        <w:tabs>
          <w:tab w:val="right" w:leader="dot" w:pos="8306"/>
        </w:tabs>
        <w:spacing w:line="360" w:lineRule="auto"/>
      </w:pPr>
      <w:r>
        <w:fldChar w:fldCharType="begin"/>
      </w:r>
      <w:r>
        <w:instrText xml:space="preserve"> HYPERLINK \l "_Toc6438" </w:instrText>
      </w:r>
      <w:r>
        <w:fldChar w:fldCharType="separate"/>
      </w:r>
      <w:r>
        <w:rPr>
          <w:rFonts w:hint="eastAsia"/>
          <w:bCs/>
        </w:rPr>
        <w:t>第一章 采购内容及要求</w:t>
      </w:r>
      <w:r>
        <w:tab/>
      </w:r>
      <w:r>
        <w:fldChar w:fldCharType="begin"/>
      </w:r>
      <w:r>
        <w:instrText xml:space="preserve"> PAGEREF _Toc6438 \h </w:instrText>
      </w:r>
      <w:r>
        <w:fldChar w:fldCharType="separate"/>
      </w:r>
      <w:r>
        <w:t>17</w:t>
      </w:r>
      <w:r>
        <w:fldChar w:fldCharType="end"/>
      </w:r>
      <w:r>
        <w:fldChar w:fldCharType="end"/>
      </w:r>
    </w:p>
    <w:p>
      <w:pPr>
        <w:pStyle w:val="19"/>
        <w:tabs>
          <w:tab w:val="right" w:leader="dot" w:pos="8306"/>
        </w:tabs>
        <w:spacing w:line="360" w:lineRule="auto"/>
      </w:pPr>
      <w:r>
        <w:fldChar w:fldCharType="begin"/>
      </w:r>
      <w:r>
        <w:instrText xml:space="preserve"> HYPERLINK \l "_Toc27488" </w:instrText>
      </w:r>
      <w:r>
        <w:fldChar w:fldCharType="separate"/>
      </w:r>
      <w:r>
        <w:rPr>
          <w:rFonts w:hint="eastAsia" w:ascii="宋体" w:cs="宋体"/>
          <w:bCs/>
        </w:rPr>
        <w:t>第二章 付款方式及要求</w:t>
      </w:r>
      <w:r>
        <w:tab/>
      </w:r>
      <w:r>
        <w:fldChar w:fldCharType="begin"/>
      </w:r>
      <w:r>
        <w:instrText xml:space="preserve"> PAGEREF _Toc27488 \h </w:instrText>
      </w:r>
      <w:r>
        <w:fldChar w:fldCharType="separate"/>
      </w:r>
      <w:r>
        <w:t>18</w:t>
      </w:r>
      <w:r>
        <w:fldChar w:fldCharType="end"/>
      </w:r>
      <w:r>
        <w:fldChar w:fldCharType="end"/>
      </w:r>
    </w:p>
    <w:p>
      <w:pPr>
        <w:pStyle w:val="17"/>
        <w:tabs>
          <w:tab w:val="right" w:leader="dot" w:pos="8306"/>
        </w:tabs>
        <w:spacing w:line="360" w:lineRule="auto"/>
      </w:pPr>
      <w:r>
        <w:fldChar w:fldCharType="begin"/>
      </w:r>
      <w:r>
        <w:instrText xml:space="preserve"> HYPERLINK \l "_Toc20379" </w:instrText>
      </w:r>
      <w:r>
        <w:fldChar w:fldCharType="separate"/>
      </w:r>
      <w:r>
        <w:rPr>
          <w:rFonts w:hint="eastAsia" w:cs="宋体"/>
          <w:szCs w:val="36"/>
        </w:rPr>
        <w:t>第四部分 磋商原则及磋商方法</w:t>
      </w:r>
      <w:r>
        <w:tab/>
      </w:r>
      <w:r>
        <w:fldChar w:fldCharType="begin"/>
      </w:r>
      <w:r>
        <w:instrText xml:space="preserve"> PAGEREF _Toc20379 \h </w:instrText>
      </w:r>
      <w:r>
        <w:fldChar w:fldCharType="separate"/>
      </w:r>
      <w:r>
        <w:t>19</w:t>
      </w:r>
      <w:r>
        <w:fldChar w:fldCharType="end"/>
      </w:r>
      <w:r>
        <w:fldChar w:fldCharType="end"/>
      </w:r>
    </w:p>
    <w:p>
      <w:pPr>
        <w:pStyle w:val="19"/>
        <w:tabs>
          <w:tab w:val="right" w:leader="dot" w:pos="8306"/>
        </w:tabs>
        <w:spacing w:line="360" w:lineRule="auto"/>
      </w:pPr>
      <w:r>
        <w:fldChar w:fldCharType="begin"/>
      </w:r>
      <w:r>
        <w:instrText xml:space="preserve"> HYPERLINK \l "_Toc23927" </w:instrText>
      </w:r>
      <w:r>
        <w:fldChar w:fldCharType="separate"/>
      </w:r>
      <w:r>
        <w:rPr>
          <w:rFonts w:hint="eastAsia"/>
        </w:rPr>
        <w:t>一、 磋商原则</w:t>
      </w:r>
      <w:r>
        <w:tab/>
      </w:r>
      <w:r>
        <w:fldChar w:fldCharType="begin"/>
      </w:r>
      <w:r>
        <w:instrText xml:space="preserve"> PAGEREF _Toc23927 \h </w:instrText>
      </w:r>
      <w:r>
        <w:fldChar w:fldCharType="separate"/>
      </w:r>
      <w:r>
        <w:t>19</w:t>
      </w:r>
      <w:r>
        <w:fldChar w:fldCharType="end"/>
      </w:r>
      <w:r>
        <w:fldChar w:fldCharType="end"/>
      </w:r>
    </w:p>
    <w:p>
      <w:pPr>
        <w:pStyle w:val="19"/>
        <w:tabs>
          <w:tab w:val="right" w:leader="dot" w:pos="8306"/>
        </w:tabs>
        <w:spacing w:line="360" w:lineRule="auto"/>
      </w:pPr>
      <w:r>
        <w:fldChar w:fldCharType="begin"/>
      </w:r>
      <w:r>
        <w:instrText xml:space="preserve"> HYPERLINK \l "_Toc9387" </w:instrText>
      </w:r>
      <w:r>
        <w:fldChar w:fldCharType="separate"/>
      </w:r>
      <w:r>
        <w:rPr>
          <w:rFonts w:hint="eastAsia"/>
        </w:rPr>
        <w:t>二、 磋商程序</w:t>
      </w:r>
      <w:r>
        <w:tab/>
      </w:r>
      <w:r>
        <w:fldChar w:fldCharType="begin"/>
      </w:r>
      <w:r>
        <w:instrText xml:space="preserve"> PAGEREF _Toc9387 \h </w:instrText>
      </w:r>
      <w:r>
        <w:fldChar w:fldCharType="separate"/>
      </w:r>
      <w:r>
        <w:t>20</w:t>
      </w:r>
      <w:r>
        <w:fldChar w:fldCharType="end"/>
      </w:r>
      <w:r>
        <w:fldChar w:fldCharType="end"/>
      </w:r>
    </w:p>
    <w:p>
      <w:pPr>
        <w:pStyle w:val="19"/>
        <w:tabs>
          <w:tab w:val="right" w:leader="dot" w:pos="8306"/>
        </w:tabs>
        <w:spacing w:line="360" w:lineRule="auto"/>
      </w:pPr>
      <w:r>
        <w:fldChar w:fldCharType="begin"/>
      </w:r>
      <w:r>
        <w:instrText xml:space="preserve"> HYPERLINK \l "_Toc23398" </w:instrText>
      </w:r>
      <w:r>
        <w:fldChar w:fldCharType="separate"/>
      </w:r>
      <w:r>
        <w:rPr>
          <w:rFonts w:hint="eastAsia"/>
        </w:rPr>
        <w:t>三、 注意事项</w:t>
      </w:r>
      <w:r>
        <w:tab/>
      </w:r>
      <w:r>
        <w:fldChar w:fldCharType="begin"/>
      </w:r>
      <w:r>
        <w:instrText xml:space="preserve"> PAGEREF _Toc23398 \h </w:instrText>
      </w:r>
      <w:r>
        <w:fldChar w:fldCharType="separate"/>
      </w:r>
      <w:r>
        <w:t>23</w:t>
      </w:r>
      <w:r>
        <w:fldChar w:fldCharType="end"/>
      </w:r>
      <w:r>
        <w:fldChar w:fldCharType="end"/>
      </w:r>
    </w:p>
    <w:p>
      <w:pPr>
        <w:pStyle w:val="19"/>
        <w:tabs>
          <w:tab w:val="right" w:leader="dot" w:pos="8306"/>
        </w:tabs>
        <w:spacing w:line="360" w:lineRule="auto"/>
      </w:pPr>
      <w:r>
        <w:fldChar w:fldCharType="begin"/>
      </w:r>
      <w:r>
        <w:instrText xml:space="preserve"> HYPERLINK \l "_Toc13852" </w:instrText>
      </w:r>
      <w:r>
        <w:fldChar w:fldCharType="separate"/>
      </w:r>
      <w:r>
        <w:rPr>
          <w:rFonts w:hint="eastAsia"/>
        </w:rPr>
        <w:t>四、 评分细则</w:t>
      </w:r>
      <w:r>
        <w:tab/>
      </w:r>
      <w:r>
        <w:fldChar w:fldCharType="begin"/>
      </w:r>
      <w:r>
        <w:instrText xml:space="preserve"> PAGEREF _Toc13852 \h </w:instrText>
      </w:r>
      <w:r>
        <w:fldChar w:fldCharType="separate"/>
      </w:r>
      <w:r>
        <w:t>24</w:t>
      </w:r>
      <w:r>
        <w:fldChar w:fldCharType="end"/>
      </w:r>
      <w:r>
        <w:fldChar w:fldCharType="end"/>
      </w:r>
    </w:p>
    <w:p>
      <w:pPr>
        <w:pStyle w:val="17"/>
        <w:tabs>
          <w:tab w:val="right" w:leader="dot" w:pos="8306"/>
        </w:tabs>
        <w:spacing w:line="360" w:lineRule="auto"/>
      </w:pPr>
      <w:r>
        <w:fldChar w:fldCharType="begin"/>
      </w:r>
      <w:r>
        <w:instrText xml:space="preserve"> HYPERLINK \l "_Toc32116" </w:instrText>
      </w:r>
      <w:r>
        <w:fldChar w:fldCharType="separate"/>
      </w:r>
      <w:r>
        <w:rPr>
          <w:rFonts w:hint="eastAsia" w:cs="宋体"/>
          <w:szCs w:val="36"/>
        </w:rPr>
        <w:t>第五部分</w:t>
      </w:r>
      <w:r>
        <w:rPr>
          <w:szCs w:val="36"/>
        </w:rPr>
        <w:t xml:space="preserve"> </w:t>
      </w:r>
      <w:r>
        <w:rPr>
          <w:rFonts w:hint="eastAsia" w:cs="宋体"/>
          <w:szCs w:val="36"/>
        </w:rPr>
        <w:t>采购合同</w:t>
      </w:r>
      <w:r>
        <w:tab/>
      </w:r>
      <w:r>
        <w:fldChar w:fldCharType="begin"/>
      </w:r>
      <w:r>
        <w:instrText xml:space="preserve"> PAGEREF _Toc32116 \h </w:instrText>
      </w:r>
      <w:r>
        <w:fldChar w:fldCharType="separate"/>
      </w:r>
      <w:r>
        <w:t>27</w:t>
      </w:r>
      <w:r>
        <w:fldChar w:fldCharType="end"/>
      </w:r>
      <w:r>
        <w:fldChar w:fldCharType="end"/>
      </w:r>
    </w:p>
    <w:p>
      <w:pPr>
        <w:pStyle w:val="17"/>
        <w:tabs>
          <w:tab w:val="right" w:leader="dot" w:pos="8306"/>
        </w:tabs>
        <w:spacing w:line="360" w:lineRule="auto"/>
      </w:pPr>
      <w:r>
        <w:fldChar w:fldCharType="begin"/>
      </w:r>
      <w:r>
        <w:instrText xml:space="preserve"> HYPERLINK \l "_Toc25710" </w:instrText>
      </w:r>
      <w:r>
        <w:fldChar w:fldCharType="separate"/>
      </w:r>
      <w:r>
        <w:rPr>
          <w:rFonts w:hint="eastAsia" w:cs="宋体"/>
          <w:szCs w:val="36"/>
        </w:rPr>
        <w:t>第六部分</w:t>
      </w:r>
      <w:r>
        <w:rPr>
          <w:szCs w:val="36"/>
        </w:rPr>
        <w:t xml:space="preserve"> </w:t>
      </w:r>
      <w:r>
        <w:rPr>
          <w:rFonts w:hint="eastAsia" w:cs="宋体"/>
          <w:szCs w:val="36"/>
        </w:rPr>
        <w:t>应提交的有关格式范例</w:t>
      </w:r>
      <w:r>
        <w:tab/>
      </w:r>
      <w:r>
        <w:fldChar w:fldCharType="begin"/>
      </w:r>
      <w:r>
        <w:instrText xml:space="preserve"> PAGEREF _Toc25710 \h </w:instrText>
      </w:r>
      <w:r>
        <w:fldChar w:fldCharType="separate"/>
      </w:r>
      <w:r>
        <w:t>31</w:t>
      </w:r>
      <w:r>
        <w:fldChar w:fldCharType="end"/>
      </w:r>
      <w:r>
        <w:fldChar w:fldCharType="end"/>
      </w:r>
    </w:p>
    <w:p>
      <w:pPr>
        <w:pStyle w:val="4"/>
        <w:spacing w:line="360" w:lineRule="auto"/>
      </w:pPr>
      <w:r>
        <w:rPr>
          <w:rFonts w:hint="eastAsia" w:hAnsi="宋体"/>
        </w:rPr>
        <w:fldChar w:fldCharType="end"/>
      </w:r>
    </w:p>
    <w:p/>
    <w:p/>
    <w:p>
      <w:pPr>
        <w:tabs>
          <w:tab w:val="left" w:pos="3148"/>
        </w:tabs>
        <w:jc w:val="left"/>
        <w:sectPr>
          <w:footerReference r:id="rId3" w:type="default"/>
          <w:pgSz w:w="11906" w:h="16838"/>
          <w:pgMar w:top="1440" w:right="1800" w:bottom="1440" w:left="1800" w:header="851" w:footer="992" w:gutter="0"/>
          <w:pgNumType w:start="1"/>
          <w:cols w:space="425" w:num="1"/>
          <w:docGrid w:type="lines" w:linePitch="312" w:charSpace="0"/>
        </w:sectPr>
      </w:pPr>
      <w:r>
        <w:tab/>
      </w:r>
    </w:p>
    <w:p>
      <w:pPr>
        <w:pStyle w:val="3"/>
        <w:jc w:val="center"/>
        <w:rPr>
          <w:rFonts w:ascii="宋体" w:cs="Times New Roman"/>
        </w:rPr>
      </w:pPr>
      <w:bookmarkStart w:id="0" w:name="_Toc28175"/>
      <w:bookmarkStart w:id="1" w:name="_Toc31034"/>
      <w:bookmarkStart w:id="2" w:name="_Toc32199"/>
      <w:bookmarkStart w:id="3" w:name="第二部分"/>
      <w:bookmarkStart w:id="4" w:name="_Toc91899870"/>
      <w:r>
        <w:rPr>
          <w:rFonts w:hint="eastAsia" w:cs="宋体"/>
          <w:sz w:val="36"/>
          <w:szCs w:val="36"/>
        </w:rPr>
        <w:t>第一部分</w:t>
      </w:r>
      <w:r>
        <w:rPr>
          <w:sz w:val="36"/>
          <w:szCs w:val="36"/>
        </w:rPr>
        <w:t xml:space="preserve"> </w:t>
      </w:r>
      <w:r>
        <w:rPr>
          <w:rFonts w:hint="eastAsia" w:cs="宋体"/>
          <w:sz w:val="36"/>
          <w:szCs w:val="36"/>
        </w:rPr>
        <w:t>磋商公告</w:t>
      </w:r>
      <w:bookmarkEnd w:id="0"/>
      <w:bookmarkEnd w:id="1"/>
      <w:bookmarkEnd w:id="2"/>
    </w:p>
    <w:p>
      <w:pPr>
        <w:adjustRightInd w:val="0"/>
        <w:snapToGrid w:val="0"/>
        <w:spacing w:line="276" w:lineRule="auto"/>
        <w:jc w:val="center"/>
        <w:rPr>
          <w:rFonts w:ascii="宋体"/>
          <w:sz w:val="28"/>
          <w:szCs w:val="28"/>
        </w:rPr>
      </w:pPr>
      <w:r>
        <w:rPr>
          <w:rFonts w:hint="eastAsia" w:ascii="宋体" w:hAnsi="宋体" w:cs="宋体"/>
          <w:sz w:val="28"/>
          <w:szCs w:val="28"/>
        </w:rPr>
        <w:t>浙江天平项目咨询有限公司关于绍兴市上虞区水文站曹娥江上虞河段精细化水文预报项目的竞争性磋商公告</w:t>
      </w:r>
    </w:p>
    <w:p>
      <w:pPr>
        <w:adjustRightInd w:val="0"/>
        <w:spacing w:line="360" w:lineRule="auto"/>
        <w:jc w:val="center"/>
        <w:rPr>
          <w:rFonts w:ascii="宋体"/>
          <w:sz w:val="28"/>
          <w:szCs w:val="28"/>
        </w:rPr>
      </w:pPr>
      <w:r>
        <w:rPr>
          <w:rFonts w:hint="eastAsia" w:ascii="宋体" w:hAnsi="宋体" w:cs="宋体"/>
          <w:sz w:val="28"/>
          <w:szCs w:val="28"/>
        </w:rPr>
        <w:t>公告日期：</w:t>
      </w:r>
      <w:r>
        <w:rPr>
          <w:rFonts w:ascii="宋体" w:hAnsi="宋体" w:cs="宋体"/>
          <w:sz w:val="28"/>
          <w:szCs w:val="28"/>
        </w:rPr>
        <w:t>2023</w:t>
      </w:r>
      <w:r>
        <w:rPr>
          <w:rFonts w:hint="eastAsia" w:ascii="宋体" w:hAnsi="宋体" w:cs="宋体"/>
          <w:sz w:val="28"/>
          <w:szCs w:val="28"/>
        </w:rPr>
        <w:t>年5月26日</w:t>
      </w:r>
    </w:p>
    <w:p>
      <w:pPr>
        <w:adjustRightInd w:val="0"/>
        <w:spacing w:line="360" w:lineRule="auto"/>
        <w:ind w:firstLine="480" w:firstLineChars="200"/>
        <w:rPr>
          <w:rFonts w:ascii="宋体"/>
          <w:sz w:val="24"/>
          <w:szCs w:val="24"/>
        </w:rPr>
      </w:pPr>
      <w:r>
        <w:rPr>
          <w:rFonts w:hint="eastAsia" w:ascii="宋体" w:hAnsi="宋体" w:cs="宋体"/>
          <w:sz w:val="24"/>
          <w:szCs w:val="24"/>
        </w:rPr>
        <w:t>根据《中华人民共和国政府采购法》等有关规定，</w:t>
      </w:r>
      <w:r>
        <w:rPr>
          <w:rFonts w:hint="eastAsia" w:ascii="宋体" w:hAnsi="宋体" w:cs="宋体"/>
          <w:sz w:val="24"/>
          <w:szCs w:val="24"/>
          <w:u w:val="single"/>
        </w:rPr>
        <w:t>浙江天平项目咨询有限公司</w:t>
      </w:r>
      <w:r>
        <w:rPr>
          <w:rFonts w:hint="eastAsia" w:ascii="宋体" w:hAnsi="宋体" w:cs="宋体"/>
          <w:sz w:val="24"/>
          <w:szCs w:val="24"/>
        </w:rPr>
        <w:t>受</w:t>
      </w:r>
      <w:r>
        <w:rPr>
          <w:rFonts w:hint="eastAsia" w:ascii="宋体" w:hAnsi="宋体" w:cs="宋体"/>
          <w:sz w:val="24"/>
          <w:szCs w:val="24"/>
          <w:u w:val="single"/>
        </w:rPr>
        <w:t>绍兴市上虞区水文站</w:t>
      </w:r>
      <w:r>
        <w:rPr>
          <w:rFonts w:hint="eastAsia" w:ascii="宋体" w:hAnsi="宋体" w:cs="宋体"/>
          <w:sz w:val="24"/>
          <w:szCs w:val="24"/>
        </w:rPr>
        <w:t>委托，现就</w:t>
      </w:r>
      <w:r>
        <w:rPr>
          <w:rFonts w:hint="eastAsia" w:ascii="宋体" w:hAnsi="宋体" w:cs="宋体"/>
          <w:sz w:val="24"/>
          <w:szCs w:val="24"/>
          <w:u w:val="single"/>
        </w:rPr>
        <w:t>曹娥江上虞河段精细化水文预报项目</w:t>
      </w:r>
      <w:r>
        <w:rPr>
          <w:rFonts w:hint="eastAsia" w:ascii="宋体" w:hAnsi="宋体" w:cs="宋体"/>
          <w:sz w:val="24"/>
          <w:szCs w:val="24"/>
        </w:rPr>
        <w:t>进行竞争性磋商采购，欢迎国内合格的供应商参加本次采购活动。</w:t>
      </w:r>
    </w:p>
    <w:p>
      <w:pPr>
        <w:adjustRightInd w:val="0"/>
        <w:spacing w:line="360" w:lineRule="auto"/>
        <w:ind w:firstLine="480" w:firstLineChars="200"/>
        <w:rPr>
          <w:rFonts w:ascii="宋体"/>
          <w:sz w:val="24"/>
          <w:szCs w:val="24"/>
          <w:u w:val="single"/>
        </w:rPr>
      </w:pPr>
      <w:r>
        <w:rPr>
          <w:rFonts w:hint="eastAsia" w:ascii="宋体" w:hAnsi="宋体" w:cs="宋体"/>
          <w:sz w:val="24"/>
          <w:szCs w:val="24"/>
        </w:rPr>
        <w:t>一．</w:t>
      </w:r>
      <w:r>
        <w:rPr>
          <w:rFonts w:ascii="宋体" w:hAnsi="宋体" w:cs="宋体"/>
          <w:sz w:val="24"/>
          <w:szCs w:val="24"/>
        </w:rPr>
        <w:t xml:space="preserve"> </w:t>
      </w:r>
      <w:r>
        <w:rPr>
          <w:rFonts w:hint="eastAsia" w:ascii="宋体" w:hAnsi="宋体" w:cs="宋体"/>
          <w:sz w:val="24"/>
          <w:szCs w:val="24"/>
        </w:rPr>
        <w:t>磋商项目编号：</w:t>
      </w:r>
      <w:r>
        <w:rPr>
          <w:rFonts w:hint="eastAsia" w:ascii="宋体" w:hAnsi="宋体" w:cs="宋体"/>
          <w:sz w:val="24"/>
          <w:szCs w:val="24"/>
          <w:u w:val="single"/>
        </w:rPr>
        <w:t>FSJZCS2023026</w:t>
      </w:r>
    </w:p>
    <w:p>
      <w:pPr>
        <w:adjustRightInd w:val="0"/>
        <w:spacing w:line="360" w:lineRule="auto"/>
        <w:ind w:firstLine="480" w:firstLineChars="200"/>
        <w:rPr>
          <w:rFonts w:ascii="宋体"/>
          <w:sz w:val="24"/>
          <w:szCs w:val="24"/>
        </w:rPr>
      </w:pPr>
      <w:r>
        <w:rPr>
          <w:rFonts w:hint="eastAsia" w:ascii="宋体" w:hAnsi="宋体" w:cs="宋体"/>
          <w:sz w:val="24"/>
          <w:szCs w:val="24"/>
        </w:rPr>
        <w:t>二．</w:t>
      </w:r>
      <w:r>
        <w:rPr>
          <w:rFonts w:ascii="宋体" w:hAnsi="宋体" w:cs="宋体"/>
          <w:sz w:val="24"/>
          <w:szCs w:val="24"/>
        </w:rPr>
        <w:t xml:space="preserve"> </w:t>
      </w:r>
      <w:r>
        <w:rPr>
          <w:rFonts w:hint="eastAsia" w:ascii="宋体" w:hAnsi="宋体" w:cs="宋体"/>
          <w:sz w:val="24"/>
          <w:szCs w:val="24"/>
        </w:rPr>
        <w:t>采购组织类型：</w:t>
      </w:r>
      <w:r>
        <w:rPr>
          <w:rFonts w:ascii="宋体" w:hAnsi="宋体" w:cs="宋体"/>
          <w:sz w:val="24"/>
          <w:szCs w:val="24"/>
          <w:u w:val="single"/>
        </w:rPr>
        <w:t xml:space="preserve"> </w:t>
      </w:r>
      <w:r>
        <w:rPr>
          <w:rFonts w:hint="eastAsia" w:ascii="宋体" w:hAnsi="宋体" w:cs="宋体"/>
          <w:sz w:val="24"/>
          <w:szCs w:val="24"/>
          <w:u w:val="single"/>
        </w:rPr>
        <w:t>分散采购（中介代理）</w:t>
      </w:r>
      <w:r>
        <w:rPr>
          <w:rFonts w:ascii="宋体" w:hAnsi="宋体" w:cs="宋体"/>
          <w:sz w:val="24"/>
          <w:szCs w:val="24"/>
          <w:u w:val="single"/>
        </w:rPr>
        <w:t xml:space="preserve"> </w:t>
      </w:r>
      <w:r>
        <w:rPr>
          <w:rFonts w:ascii="宋体" w:hAnsi="宋体" w:cs="宋体"/>
          <w:sz w:val="24"/>
          <w:szCs w:val="24"/>
        </w:rPr>
        <w:t xml:space="preserve"> </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三．</w:t>
      </w:r>
      <w:r>
        <w:rPr>
          <w:rFonts w:ascii="宋体" w:hAnsi="宋体" w:cs="宋体"/>
          <w:sz w:val="24"/>
          <w:szCs w:val="24"/>
        </w:rPr>
        <w:t xml:space="preserve"> </w:t>
      </w:r>
      <w:r>
        <w:rPr>
          <w:rFonts w:hint="eastAsia" w:ascii="宋体" w:hAnsi="宋体" w:cs="宋体"/>
          <w:sz w:val="24"/>
          <w:szCs w:val="24"/>
        </w:rPr>
        <w:t>磋商项目概况</w:t>
      </w:r>
      <w:r>
        <w:rPr>
          <w:rFonts w:ascii="宋体" w:hAnsi="宋体" w:cs="宋体"/>
          <w:sz w:val="24"/>
          <w:szCs w:val="24"/>
        </w:rPr>
        <w:t>:</w:t>
      </w:r>
    </w:p>
    <w:tbl>
      <w:tblPr>
        <w:tblStyle w:val="26"/>
        <w:tblW w:w="9960"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709"/>
        <w:gridCol w:w="2127"/>
        <w:gridCol w:w="853"/>
        <w:gridCol w:w="706"/>
        <w:gridCol w:w="1245"/>
        <w:gridCol w:w="2211"/>
        <w:gridCol w:w="1293"/>
        <w:gridCol w:w="816"/>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1037" w:hRule="atLeast"/>
          <w:jc w:val="center"/>
        </w:trPr>
        <w:tc>
          <w:tcPr>
            <w:tcW w:w="709"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序号</w:t>
            </w:r>
          </w:p>
        </w:tc>
        <w:tc>
          <w:tcPr>
            <w:tcW w:w="2127" w:type="dxa"/>
            <w:tcBorders>
              <w:top w:val="single" w:color="000000" w:sz="4" w:space="0"/>
            </w:tcBorders>
            <w:vAlign w:val="center"/>
          </w:tcPr>
          <w:p>
            <w:pPr>
              <w:adjustRightInd w:val="0"/>
              <w:spacing w:line="360" w:lineRule="auto"/>
              <w:jc w:val="center"/>
              <w:rPr>
                <w:rFonts w:ascii="宋体" w:hAnsi="宋体" w:cs="宋体"/>
                <w:sz w:val="24"/>
                <w:szCs w:val="24"/>
              </w:rPr>
            </w:pPr>
            <w:r>
              <w:rPr>
                <w:rFonts w:hint="eastAsia" w:ascii="宋体" w:hAnsi="宋体" w:cs="宋体"/>
                <w:sz w:val="24"/>
                <w:szCs w:val="24"/>
              </w:rPr>
              <w:t>项目名称</w:t>
            </w:r>
          </w:p>
        </w:tc>
        <w:tc>
          <w:tcPr>
            <w:tcW w:w="853"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数量</w:t>
            </w:r>
          </w:p>
        </w:tc>
        <w:tc>
          <w:tcPr>
            <w:tcW w:w="706"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单位</w:t>
            </w:r>
          </w:p>
        </w:tc>
        <w:tc>
          <w:tcPr>
            <w:tcW w:w="1245"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预算金额</w:t>
            </w:r>
            <w:r>
              <w:rPr>
                <w:rFonts w:ascii="宋体" w:hAnsi="宋体" w:cs="宋体"/>
                <w:sz w:val="24"/>
                <w:szCs w:val="24"/>
              </w:rPr>
              <w:t>(</w:t>
            </w:r>
            <w:r>
              <w:rPr>
                <w:rFonts w:hint="eastAsia" w:ascii="宋体" w:hAnsi="宋体" w:cs="宋体"/>
                <w:sz w:val="24"/>
                <w:szCs w:val="24"/>
              </w:rPr>
              <w:t>万元</w:t>
            </w:r>
            <w:r>
              <w:rPr>
                <w:rFonts w:ascii="宋体" w:hAnsi="宋体" w:cs="宋体"/>
                <w:sz w:val="24"/>
                <w:szCs w:val="24"/>
              </w:rPr>
              <w:t>)</w:t>
            </w:r>
          </w:p>
        </w:tc>
        <w:tc>
          <w:tcPr>
            <w:tcW w:w="2211"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简要规格描述或标项基本概况介绍</w:t>
            </w:r>
          </w:p>
        </w:tc>
        <w:tc>
          <w:tcPr>
            <w:tcW w:w="1293"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最高限价</w:t>
            </w:r>
            <w:r>
              <w:rPr>
                <w:rFonts w:ascii="宋体" w:hAnsi="宋体" w:cs="宋体"/>
                <w:sz w:val="24"/>
                <w:szCs w:val="24"/>
              </w:rPr>
              <w:t>(</w:t>
            </w:r>
            <w:r>
              <w:rPr>
                <w:rFonts w:hint="eastAsia" w:ascii="宋体" w:hAnsi="宋体" w:cs="宋体"/>
                <w:sz w:val="24"/>
                <w:szCs w:val="24"/>
              </w:rPr>
              <w:t>万元</w:t>
            </w:r>
            <w:r>
              <w:rPr>
                <w:rFonts w:ascii="宋体" w:hAnsi="宋体" w:cs="宋体"/>
                <w:sz w:val="24"/>
                <w:szCs w:val="24"/>
              </w:rPr>
              <w:t>)</w:t>
            </w:r>
          </w:p>
        </w:tc>
        <w:tc>
          <w:tcPr>
            <w:tcW w:w="816"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1154" w:hRule="atLeast"/>
          <w:jc w:val="center"/>
        </w:trPr>
        <w:tc>
          <w:tcPr>
            <w:tcW w:w="709" w:type="dxa"/>
            <w:vAlign w:val="center"/>
          </w:tcPr>
          <w:p>
            <w:pPr>
              <w:adjustRightInd w:val="0"/>
              <w:spacing w:line="360" w:lineRule="auto"/>
              <w:jc w:val="center"/>
              <w:rPr>
                <w:rFonts w:ascii="宋体"/>
                <w:sz w:val="24"/>
                <w:szCs w:val="24"/>
              </w:rPr>
            </w:pPr>
            <w:r>
              <w:rPr>
                <w:rFonts w:ascii="宋体" w:hAnsi="宋体" w:cs="宋体"/>
                <w:sz w:val="24"/>
                <w:szCs w:val="24"/>
              </w:rPr>
              <w:t>1</w:t>
            </w:r>
          </w:p>
        </w:tc>
        <w:tc>
          <w:tcPr>
            <w:tcW w:w="2127" w:type="dxa"/>
            <w:vAlign w:val="center"/>
          </w:tcPr>
          <w:p>
            <w:pPr>
              <w:adjustRightInd w:val="0"/>
              <w:jc w:val="center"/>
              <w:rPr>
                <w:rFonts w:ascii="宋体" w:hAnsi="宋体" w:cs="宋体"/>
                <w:sz w:val="24"/>
                <w:szCs w:val="24"/>
              </w:rPr>
            </w:pPr>
            <w:r>
              <w:rPr>
                <w:rFonts w:hint="eastAsia" w:ascii="宋体" w:hAnsi="宋体" w:cs="宋体"/>
                <w:sz w:val="24"/>
                <w:szCs w:val="24"/>
              </w:rPr>
              <w:t>曹娥江上虞河段精细化水文预报项目</w:t>
            </w:r>
          </w:p>
        </w:tc>
        <w:tc>
          <w:tcPr>
            <w:tcW w:w="853" w:type="dxa"/>
            <w:vAlign w:val="center"/>
          </w:tcPr>
          <w:p>
            <w:pPr>
              <w:adjustRightInd w:val="0"/>
              <w:jc w:val="center"/>
              <w:rPr>
                <w:rFonts w:ascii="宋体"/>
                <w:sz w:val="24"/>
                <w:szCs w:val="24"/>
              </w:rPr>
            </w:pPr>
            <w:r>
              <w:rPr>
                <w:rFonts w:ascii="宋体" w:hAnsi="宋体" w:cs="宋体"/>
                <w:sz w:val="24"/>
              </w:rPr>
              <w:t>1</w:t>
            </w:r>
          </w:p>
        </w:tc>
        <w:tc>
          <w:tcPr>
            <w:tcW w:w="706" w:type="dxa"/>
            <w:vAlign w:val="center"/>
          </w:tcPr>
          <w:p>
            <w:pPr>
              <w:adjustRightInd w:val="0"/>
              <w:jc w:val="center"/>
              <w:rPr>
                <w:rFonts w:ascii="宋体"/>
                <w:sz w:val="24"/>
                <w:szCs w:val="24"/>
              </w:rPr>
            </w:pPr>
            <w:r>
              <w:rPr>
                <w:rFonts w:hint="eastAsia" w:ascii="宋体"/>
                <w:sz w:val="24"/>
                <w:szCs w:val="24"/>
              </w:rPr>
              <w:t>项</w:t>
            </w:r>
          </w:p>
        </w:tc>
        <w:tc>
          <w:tcPr>
            <w:tcW w:w="1245" w:type="dxa"/>
            <w:vAlign w:val="center"/>
          </w:tcPr>
          <w:p>
            <w:pPr>
              <w:adjustRightInd w:val="0"/>
              <w:jc w:val="center"/>
              <w:rPr>
                <w:rFonts w:ascii="宋体"/>
                <w:sz w:val="24"/>
                <w:szCs w:val="24"/>
              </w:rPr>
            </w:pPr>
            <w:r>
              <w:rPr>
                <w:rFonts w:hint="eastAsia" w:ascii="宋体" w:hAnsi="宋体" w:cs="宋体"/>
                <w:sz w:val="24"/>
              </w:rPr>
              <w:t>176</w:t>
            </w:r>
          </w:p>
        </w:tc>
        <w:tc>
          <w:tcPr>
            <w:tcW w:w="2211" w:type="dxa"/>
            <w:vAlign w:val="center"/>
          </w:tcPr>
          <w:p>
            <w:pPr>
              <w:adjustRightInd w:val="0"/>
              <w:jc w:val="center"/>
              <w:rPr>
                <w:rFonts w:ascii="宋体" w:hAnsi="宋体" w:cs="宋体"/>
                <w:sz w:val="24"/>
                <w:szCs w:val="24"/>
              </w:rPr>
            </w:pPr>
            <w:r>
              <w:rPr>
                <w:rFonts w:hint="eastAsia" w:ascii="宋体" w:hAnsi="宋体" w:cs="宋体"/>
                <w:sz w:val="24"/>
                <w:szCs w:val="24"/>
              </w:rPr>
              <w:t>曹娥江上虞河段精细化水文预报等。</w:t>
            </w:r>
          </w:p>
        </w:tc>
        <w:tc>
          <w:tcPr>
            <w:tcW w:w="1293" w:type="dxa"/>
            <w:vAlign w:val="center"/>
          </w:tcPr>
          <w:p>
            <w:pPr>
              <w:adjustRightInd w:val="0"/>
              <w:jc w:val="center"/>
              <w:rPr>
                <w:rFonts w:ascii="宋体" w:hAnsi="宋体" w:cs="宋体"/>
                <w:sz w:val="24"/>
                <w:szCs w:val="24"/>
              </w:rPr>
            </w:pPr>
            <w:r>
              <w:rPr>
                <w:rFonts w:hint="eastAsia" w:ascii="宋体" w:hAnsi="宋体" w:cs="宋体"/>
                <w:sz w:val="24"/>
              </w:rPr>
              <w:t>166</w:t>
            </w:r>
          </w:p>
        </w:tc>
        <w:tc>
          <w:tcPr>
            <w:tcW w:w="816" w:type="dxa"/>
            <w:vAlign w:val="center"/>
          </w:tcPr>
          <w:p>
            <w:pPr>
              <w:adjustRightInd w:val="0"/>
              <w:jc w:val="center"/>
              <w:rPr>
                <w:rFonts w:ascii="宋体"/>
                <w:sz w:val="24"/>
                <w:szCs w:val="24"/>
              </w:rPr>
            </w:pPr>
            <w:r>
              <w:rPr>
                <w:rFonts w:hint="eastAsia" w:ascii="宋体"/>
                <w:sz w:val="24"/>
                <w:szCs w:val="24"/>
              </w:rPr>
              <w:t>/</w:t>
            </w:r>
          </w:p>
        </w:tc>
      </w:tr>
    </w:tbl>
    <w:p>
      <w:pPr>
        <w:adjustRightInd w:val="0"/>
        <w:spacing w:line="360" w:lineRule="auto"/>
        <w:ind w:firstLine="480" w:firstLineChars="200"/>
        <w:rPr>
          <w:rFonts w:ascii="宋体"/>
          <w:sz w:val="24"/>
          <w:szCs w:val="24"/>
        </w:rPr>
      </w:pPr>
      <w:r>
        <w:rPr>
          <w:rFonts w:hint="eastAsia" w:ascii="宋体" w:hAnsi="宋体" w:cs="宋体"/>
          <w:sz w:val="24"/>
          <w:szCs w:val="24"/>
        </w:rPr>
        <w:t>四．</w:t>
      </w:r>
      <w:r>
        <w:rPr>
          <w:rFonts w:ascii="宋体" w:hAnsi="宋体" w:cs="宋体"/>
          <w:sz w:val="24"/>
          <w:szCs w:val="24"/>
        </w:rPr>
        <w:t xml:space="preserve"> </w:t>
      </w:r>
      <w:r>
        <w:rPr>
          <w:rFonts w:hint="eastAsia" w:ascii="宋体" w:hAnsi="宋体" w:cs="宋体"/>
          <w:sz w:val="24"/>
          <w:szCs w:val="24"/>
        </w:rPr>
        <w:t>合格供应商资格要求</w:t>
      </w:r>
      <w:r>
        <w:rPr>
          <w:rFonts w:ascii="宋体" w:hAnsi="宋体" w:cs="宋体"/>
          <w:sz w:val="24"/>
          <w:szCs w:val="24"/>
        </w:rPr>
        <w:t>:</w:t>
      </w:r>
    </w:p>
    <w:p>
      <w:pPr>
        <w:numPr>
          <w:ilvl w:val="0"/>
          <w:numId w:val="2"/>
        </w:numPr>
        <w:adjustRightInd w:val="0"/>
        <w:spacing w:line="360" w:lineRule="auto"/>
        <w:ind w:firstLine="480" w:firstLineChars="200"/>
        <w:rPr>
          <w:rFonts w:ascii="宋体"/>
          <w:sz w:val="24"/>
          <w:szCs w:val="24"/>
        </w:rPr>
      </w:pPr>
      <w:r>
        <w:rPr>
          <w:rFonts w:hint="eastAsia" w:ascii="宋体" w:hAnsi="宋体" w:cs="宋体"/>
          <w:sz w:val="24"/>
          <w:szCs w:val="24"/>
        </w:rPr>
        <w:t>符合政府采购法第二十二条，且未被“信用中国”（</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）列入失信被执行人、重大税收违法案件当事人名单、政府采购严重违法失信行为记录名单；</w:t>
      </w:r>
      <w:r>
        <w:rPr>
          <w:rFonts w:ascii="宋体"/>
          <w:sz w:val="24"/>
          <w:szCs w:val="24"/>
        </w:rPr>
        <w:t> </w:t>
      </w:r>
    </w:p>
    <w:p>
      <w:pPr>
        <w:numPr>
          <w:ilvl w:val="0"/>
          <w:numId w:val="2"/>
        </w:numPr>
        <w:adjustRightInd w:val="0"/>
        <w:spacing w:line="360" w:lineRule="auto"/>
        <w:ind w:firstLine="480" w:firstLineChars="200"/>
        <w:rPr>
          <w:rFonts w:ascii="宋体"/>
          <w:sz w:val="24"/>
          <w:szCs w:val="24"/>
        </w:rPr>
      </w:pPr>
      <w:r>
        <w:rPr>
          <w:rFonts w:hint="eastAsia" w:ascii="宋体" w:hAnsi="宋体" w:cs="宋体"/>
          <w:sz w:val="24"/>
        </w:rPr>
        <w:t>落实政府采购政策需满足的资格要求：无；</w:t>
      </w:r>
    </w:p>
    <w:p>
      <w:pPr>
        <w:numPr>
          <w:ilvl w:val="0"/>
          <w:numId w:val="2"/>
        </w:numPr>
        <w:adjustRightInd w:val="0"/>
        <w:spacing w:line="360" w:lineRule="auto"/>
        <w:ind w:firstLine="480" w:firstLineChars="200"/>
        <w:rPr>
          <w:rFonts w:ascii="宋体"/>
          <w:sz w:val="24"/>
          <w:szCs w:val="24"/>
        </w:rPr>
      </w:pPr>
      <w:r>
        <w:rPr>
          <w:rFonts w:hint="eastAsia" w:ascii="宋体" w:hAnsi="宋体" w:cs="宋体"/>
          <w:sz w:val="24"/>
          <w:szCs w:val="24"/>
        </w:rPr>
        <w:t>本项目</w:t>
      </w:r>
      <w:r>
        <w:rPr>
          <w:rFonts w:hint="eastAsia" w:ascii="宋体" w:hAnsi="宋体" w:cs="宋体"/>
          <w:sz w:val="24"/>
          <w:szCs w:val="24"/>
          <w:u w:val="single"/>
        </w:rPr>
        <w:t>不接受</w:t>
      </w:r>
      <w:r>
        <w:rPr>
          <w:rFonts w:ascii="宋体" w:hAnsi="宋体" w:cs="宋体"/>
          <w:sz w:val="24"/>
          <w:szCs w:val="24"/>
          <w:u w:val="single"/>
        </w:rPr>
        <w:t xml:space="preserve"> </w:t>
      </w:r>
      <w:r>
        <w:rPr>
          <w:rFonts w:hint="eastAsia" w:ascii="宋体" w:hAnsi="宋体" w:cs="宋体"/>
          <w:sz w:val="24"/>
          <w:szCs w:val="24"/>
        </w:rPr>
        <w:t>联合体参加磋商；</w:t>
      </w:r>
    </w:p>
    <w:p>
      <w:pPr>
        <w:numPr>
          <w:ilvl w:val="0"/>
          <w:numId w:val="2"/>
        </w:numPr>
        <w:adjustRightInd w:val="0"/>
        <w:spacing w:line="360" w:lineRule="auto"/>
        <w:ind w:firstLine="480" w:firstLineChars="200"/>
        <w:rPr>
          <w:rFonts w:ascii="宋体"/>
          <w:sz w:val="24"/>
          <w:szCs w:val="24"/>
        </w:rPr>
      </w:pPr>
      <w:r>
        <w:rPr>
          <w:rFonts w:hint="eastAsia" w:ascii="宋体" w:hAnsi="宋体" w:cs="宋体"/>
          <w:sz w:val="24"/>
          <w:szCs w:val="24"/>
        </w:rPr>
        <w:t>本项目采用资格后审的审查方式，由磋商小组负责</w:t>
      </w:r>
      <w:bookmarkStart w:id="108" w:name="_GoBack"/>
      <w:bookmarkEnd w:id="108"/>
      <w:r>
        <w:rPr>
          <w:rFonts w:hint="eastAsia" w:ascii="宋体" w:hAnsi="宋体" w:cs="宋体"/>
          <w:sz w:val="24"/>
          <w:szCs w:val="24"/>
        </w:rPr>
        <w:t>审查。</w:t>
      </w:r>
    </w:p>
    <w:p>
      <w:pPr>
        <w:adjustRightInd w:val="0"/>
        <w:spacing w:line="360" w:lineRule="auto"/>
        <w:ind w:firstLine="480" w:firstLineChars="200"/>
        <w:rPr>
          <w:rFonts w:ascii="宋体"/>
          <w:sz w:val="24"/>
          <w:szCs w:val="24"/>
        </w:rPr>
      </w:pPr>
      <w:r>
        <w:rPr>
          <w:rFonts w:hint="eastAsia" w:ascii="宋体" w:hAnsi="宋体" w:cs="宋体"/>
          <w:sz w:val="24"/>
          <w:szCs w:val="24"/>
        </w:rPr>
        <w:t>五．获取磋商文件</w:t>
      </w:r>
    </w:p>
    <w:p>
      <w:pPr>
        <w:numPr>
          <w:ilvl w:val="0"/>
          <w:numId w:val="3"/>
        </w:numPr>
        <w:adjustRightInd w:val="0"/>
        <w:spacing w:line="360" w:lineRule="auto"/>
        <w:ind w:firstLine="480" w:firstLineChars="200"/>
        <w:rPr>
          <w:rFonts w:ascii="宋体"/>
          <w:sz w:val="24"/>
          <w:szCs w:val="24"/>
        </w:rPr>
      </w:pPr>
      <w:bookmarkStart w:id="5" w:name="报名开始时间1"/>
      <w:r>
        <w:rPr>
          <w:rFonts w:hint="eastAsia" w:ascii="宋体" w:hAnsi="宋体" w:cs="宋体"/>
          <w:sz w:val="24"/>
          <w:szCs w:val="24"/>
        </w:rPr>
        <w:t>获取磋商文件时间</w:t>
      </w:r>
      <w:r>
        <w:rPr>
          <w:rFonts w:ascii="宋体" w:hAnsi="宋体" w:cs="宋体"/>
          <w:sz w:val="24"/>
          <w:szCs w:val="24"/>
        </w:rPr>
        <w:t>:</w:t>
      </w:r>
      <w:bookmarkEnd w:id="5"/>
      <w:r>
        <w:rPr>
          <w:rFonts w:ascii="宋体" w:hAnsi="宋体" w:cs="宋体"/>
          <w:sz w:val="24"/>
          <w:szCs w:val="24"/>
          <w:u w:val="single"/>
        </w:rPr>
        <w:t>2023</w:t>
      </w:r>
      <w:r>
        <w:rPr>
          <w:rFonts w:hint="eastAsia" w:ascii="宋体" w:hAnsi="宋体" w:cs="宋体"/>
          <w:sz w:val="24"/>
          <w:szCs w:val="24"/>
          <w:u w:val="single"/>
        </w:rPr>
        <w:t>年6月7日上午09</w:t>
      </w:r>
      <w:r>
        <w:rPr>
          <w:rFonts w:ascii="宋体" w:hAnsi="宋体" w:cs="宋体"/>
          <w:sz w:val="24"/>
          <w:szCs w:val="24"/>
          <w:u w:val="single"/>
        </w:rPr>
        <w:t>:</w:t>
      </w:r>
      <w:r>
        <w:rPr>
          <w:rFonts w:hint="eastAsia" w:ascii="宋体" w:hAnsi="宋体" w:cs="宋体"/>
          <w:sz w:val="24"/>
          <w:szCs w:val="24"/>
          <w:u w:val="single"/>
        </w:rPr>
        <w:t>3</w:t>
      </w:r>
      <w:r>
        <w:rPr>
          <w:rFonts w:ascii="宋体" w:hAnsi="宋体" w:cs="宋体"/>
          <w:sz w:val="24"/>
          <w:szCs w:val="24"/>
          <w:u w:val="single"/>
        </w:rPr>
        <w:t>0</w:t>
      </w:r>
      <w:r>
        <w:rPr>
          <w:rFonts w:hint="eastAsia" w:ascii="宋体" w:hAnsi="宋体" w:cs="宋体"/>
          <w:sz w:val="24"/>
          <w:szCs w:val="24"/>
        </w:rPr>
        <w:t>之前获取。</w:t>
      </w:r>
    </w:p>
    <w:p>
      <w:pPr>
        <w:numPr>
          <w:ilvl w:val="0"/>
          <w:numId w:val="3"/>
        </w:numPr>
        <w:adjustRightInd w:val="0"/>
        <w:spacing w:line="360" w:lineRule="auto"/>
        <w:ind w:firstLine="480" w:firstLineChars="200"/>
        <w:rPr>
          <w:rFonts w:ascii="宋体"/>
          <w:sz w:val="24"/>
          <w:szCs w:val="24"/>
        </w:rPr>
      </w:pPr>
      <w:r>
        <w:rPr>
          <w:rFonts w:hint="eastAsia" w:ascii="宋体" w:hAnsi="宋体" w:cs="宋体"/>
          <w:sz w:val="24"/>
          <w:szCs w:val="24"/>
        </w:rPr>
        <w:t>获取磋商文件方式：供应商登陆政采云平台</w:t>
      </w:r>
      <w:r>
        <w:rPr>
          <w:rFonts w:ascii="宋体" w:hAnsi="宋体" w:cs="宋体"/>
          <w:sz w:val="24"/>
          <w:szCs w:val="24"/>
        </w:rPr>
        <w:t>http://www.zcygov.cn/</w:t>
      </w:r>
      <w:r>
        <w:rPr>
          <w:rFonts w:hint="eastAsia" w:ascii="宋体" w:hAnsi="宋体" w:cs="宋体"/>
          <w:sz w:val="24"/>
          <w:szCs w:val="24"/>
        </w:rPr>
        <w:t>，在线申请获取磋商文件（进入“项目采购”应用，在获取采购文件菜单中选择项目，申请获取采购文件）。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ascii="宋体"/>
          <w:sz w:val="24"/>
          <w:szCs w:val="24"/>
        </w:rPr>
      </w:pPr>
      <w:r>
        <w:rPr>
          <w:rFonts w:hint="eastAsia" w:ascii="宋体" w:hAnsi="宋体" w:cs="宋体"/>
          <w:sz w:val="24"/>
          <w:szCs w:val="24"/>
        </w:rPr>
        <w:t>提示：</w:t>
      </w:r>
    </w:p>
    <w:p>
      <w:pPr>
        <w:numPr>
          <w:ilvl w:val="0"/>
          <w:numId w:val="4"/>
        </w:numPr>
        <w:adjustRightInd w:val="0"/>
        <w:spacing w:line="360" w:lineRule="auto"/>
        <w:ind w:firstLine="480" w:firstLineChars="200"/>
        <w:rPr>
          <w:rFonts w:ascii="宋体"/>
          <w:sz w:val="24"/>
          <w:szCs w:val="24"/>
        </w:rPr>
      </w:pPr>
      <w:r>
        <w:rPr>
          <w:rFonts w:hint="eastAsia" w:ascii="宋体" w:hAnsi="宋体" w:cs="宋体"/>
          <w:sz w:val="24"/>
          <w:szCs w:val="24"/>
        </w:rPr>
        <w:t>将拒绝接受未获取磋商文件供应商的响应文件。</w:t>
      </w:r>
    </w:p>
    <w:p>
      <w:pPr>
        <w:numPr>
          <w:ilvl w:val="0"/>
          <w:numId w:val="4"/>
        </w:numPr>
        <w:adjustRightInd w:val="0"/>
        <w:spacing w:line="360" w:lineRule="auto"/>
        <w:ind w:firstLine="480" w:firstLineChars="200"/>
        <w:rPr>
          <w:rFonts w:ascii="宋体"/>
          <w:sz w:val="24"/>
          <w:szCs w:val="24"/>
        </w:rPr>
      </w:pPr>
      <w:r>
        <w:rPr>
          <w:rFonts w:hint="eastAsia" w:ascii="宋体" w:hAnsi="宋体" w:cs="宋体"/>
          <w:sz w:val="24"/>
          <w:szCs w:val="24"/>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六．投标与开标注意事项：</w:t>
      </w:r>
    </w:p>
    <w:p>
      <w:pPr>
        <w:numPr>
          <w:ilvl w:val="0"/>
          <w:numId w:val="5"/>
        </w:numPr>
        <w:adjustRightInd w:val="0"/>
        <w:spacing w:line="360" w:lineRule="auto"/>
        <w:ind w:firstLine="480" w:firstLineChars="200"/>
        <w:rPr>
          <w:rFonts w:ascii="宋体" w:hAnsi="宋体" w:cs="宋体"/>
          <w:sz w:val="24"/>
          <w:szCs w:val="24"/>
        </w:rPr>
      </w:pPr>
      <w:r>
        <w:rPr>
          <w:rFonts w:hint="eastAsia" w:ascii="宋体" w:hAnsi="宋体" w:cs="宋体"/>
          <w:sz w:val="24"/>
          <w:szCs w:val="24"/>
        </w:rPr>
        <w:t>本项目实行</w:t>
      </w:r>
      <w:r>
        <w:rPr>
          <w:rFonts w:hint="eastAsia" w:ascii="宋体" w:hAnsi="宋体" w:cs="宋体"/>
          <w:b/>
          <w:bCs/>
          <w:sz w:val="24"/>
          <w:szCs w:val="24"/>
        </w:rPr>
        <w:t>网上投标</w:t>
      </w:r>
      <w:r>
        <w:rPr>
          <w:rFonts w:hint="eastAsia" w:ascii="宋体" w:hAnsi="宋体" w:cs="宋体"/>
          <w:sz w:val="24"/>
          <w:szCs w:val="24"/>
        </w:rPr>
        <w:t>，采用电子投标文件，若供应商参与投标，自行承担投标一切费用。</w:t>
      </w:r>
    </w:p>
    <w:p>
      <w:pPr>
        <w:numPr>
          <w:ilvl w:val="0"/>
          <w:numId w:val="5"/>
        </w:numPr>
        <w:wordWrap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sz w:val="24"/>
        </w:rPr>
      </w:pPr>
      <w:r>
        <w:rPr>
          <w:rFonts w:hint="eastAsia" w:ascii="宋体" w:hAnsi="宋体" w:cs="宋体"/>
          <w:sz w:val="24"/>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sz w:val="24"/>
        </w:rPr>
      </w:pPr>
      <w:r>
        <w:rPr>
          <w:rFonts w:hint="eastAsia" w:ascii="宋体" w:hAnsi="宋体" w:cs="宋体"/>
          <w:sz w:val="24"/>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ascii="宋体" w:hAnsi="宋体" w:cs="宋体"/>
          <w:sz w:val="24"/>
        </w:rPr>
      </w:pPr>
      <w:r>
        <w:rPr>
          <w:rFonts w:hint="eastAsia" w:ascii="宋体" w:hAnsi="宋体" w:cs="宋体"/>
          <w:sz w:val="24"/>
        </w:rPr>
        <w:t>《CA管理学习专题》：</w:t>
      </w:r>
    </w:p>
    <w:p>
      <w:pPr>
        <w:adjustRightInd w:val="0"/>
        <w:spacing w:line="360" w:lineRule="auto"/>
        <w:ind w:left="420" w:leftChars="200"/>
        <w:rPr>
          <w:rFonts w:ascii="宋体" w:hAnsi="宋体" w:cs="宋体"/>
          <w:sz w:val="24"/>
        </w:rPr>
      </w:pPr>
      <w:r>
        <w:rPr>
          <w:rFonts w:hint="eastAsia" w:ascii="宋体" w:hAnsi="宋体" w:cs="宋体"/>
          <w:sz w:val="24"/>
        </w:rPr>
        <w:t>https://edu.zcygov.cn/luban/ca?utm=web-government-front.380aac0a.0.0.fc2b6aa0b6e211ebbdb0dd007730dd44</w:t>
      </w:r>
    </w:p>
    <w:p>
      <w:pPr>
        <w:adjustRightInd w:val="0"/>
        <w:spacing w:line="360" w:lineRule="auto"/>
        <w:ind w:left="420" w:leftChars="200"/>
        <w:rPr>
          <w:rFonts w:ascii="宋体" w:hAnsi="宋体" w:cs="宋体"/>
          <w:sz w:val="24"/>
        </w:rPr>
      </w:pPr>
      <w:r>
        <w:rPr>
          <w:rFonts w:hint="eastAsia" w:ascii="宋体" w:hAnsi="宋体" w:cs="宋体"/>
          <w:sz w:val="24"/>
        </w:rPr>
        <w:t>《CA驱动和申领流程》:</w:t>
      </w:r>
    </w:p>
    <w:p>
      <w:pPr>
        <w:adjustRightInd w:val="0"/>
        <w:spacing w:line="360" w:lineRule="auto"/>
        <w:ind w:left="420" w:leftChars="200"/>
        <w:rPr>
          <w:rFonts w:ascii="宋体" w:hAnsi="宋体" w:cs="宋体"/>
          <w:sz w:val="24"/>
          <w:szCs w:val="24"/>
        </w:rPr>
      </w:pPr>
      <w:r>
        <w:fldChar w:fldCharType="begin"/>
      </w:r>
      <w:r>
        <w:instrText xml:space="preserve"> HYPERLINK "http://zfcg.czt.zj.gov.cn/bidClientTemplate/2019-05-27/12945.html" </w:instrText>
      </w:r>
      <w:r>
        <w:fldChar w:fldCharType="separate"/>
      </w:r>
      <w:r>
        <w:rPr>
          <w:rFonts w:hint="eastAsia" w:ascii="宋体" w:hAnsi="宋体" w:cs="宋体"/>
          <w:sz w:val="24"/>
        </w:rPr>
        <w:t>http://zfcg.czt.zj.gov.cn/bidClientTemplate/2019-05-27/12945.html</w:t>
      </w:r>
      <w:r>
        <w:rPr>
          <w:rFonts w:hint="eastAsia" w:ascii="宋体" w:hAnsi="宋体" w:cs="宋体"/>
          <w:sz w:val="24"/>
        </w:rPr>
        <w:fldChar w:fldCharType="end"/>
      </w:r>
    </w:p>
    <w:p>
      <w:pPr>
        <w:numPr>
          <w:ilvl w:val="0"/>
          <w:numId w:val="5"/>
        </w:numPr>
        <w:adjustRightInd w:val="0"/>
        <w:spacing w:line="360" w:lineRule="auto"/>
        <w:ind w:firstLine="480" w:firstLineChars="200"/>
        <w:rPr>
          <w:rFonts w:ascii="宋体" w:hAnsi="宋体" w:cs="宋体"/>
          <w:sz w:val="24"/>
          <w:szCs w:val="24"/>
        </w:rPr>
      </w:pPr>
      <w:r>
        <w:rPr>
          <w:rFonts w:hint="eastAsia" w:ascii="宋体" w:hAnsi="宋体" w:cs="宋体"/>
          <w:sz w:val="24"/>
          <w:szCs w:val="24"/>
        </w:rPr>
        <w:t>投标文件制作：</w:t>
      </w:r>
    </w:p>
    <w:p>
      <w:pPr>
        <w:numPr>
          <w:ilvl w:val="0"/>
          <w:numId w:val="6"/>
        </w:numPr>
        <w:adjustRightInd w:val="0"/>
        <w:spacing w:line="360" w:lineRule="auto"/>
        <w:ind w:firstLine="480" w:firstLineChars="200"/>
        <w:rPr>
          <w:rFonts w:ascii="宋体" w:hAnsi="宋体" w:cs="宋体"/>
          <w:sz w:val="24"/>
          <w:szCs w:val="24"/>
        </w:rPr>
      </w:pPr>
      <w:r>
        <w:rPr>
          <w:rFonts w:hint="eastAsia" w:ascii="宋体" w:hAnsi="宋体" w:cs="宋体"/>
          <w:sz w:val="24"/>
          <w:szCs w:val="24"/>
        </w:rPr>
        <w:t>应按照本项目招标文件和政采云平台的要求编制、加密并递交投标文件。供应商在使用系统进行投标的过程中遇到涉及平台使用的任何问题，可致电政采云平台技术支持热线咨询，联系方式：95763。</w:t>
      </w:r>
    </w:p>
    <w:p>
      <w:pPr>
        <w:numPr>
          <w:ilvl w:val="0"/>
          <w:numId w:val="6"/>
        </w:numPr>
        <w:wordWrap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投标人通过“政采云”平台电子投标工具制作投标文件。</w:t>
      </w:r>
    </w:p>
    <w:p>
      <w:pPr>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《电子投标工具》：</w:t>
      </w:r>
    </w:p>
    <w:p>
      <w:pPr>
        <w:adjustRightInd w:val="0"/>
        <w:spacing w:line="360" w:lineRule="auto"/>
        <w:ind w:firstLine="420" w:firstLineChars="200"/>
        <w:jc w:val="left"/>
        <w:rPr>
          <w:rFonts w:ascii="宋体" w:hAnsi="宋体" w:cs="宋体"/>
          <w:sz w:val="24"/>
          <w:szCs w:val="24"/>
        </w:rPr>
      </w:pPr>
      <w:r>
        <w:fldChar w:fldCharType="begin"/>
      </w:r>
      <w:r>
        <w:instrText xml:space="preserve"> HYPERLINK "http://zfcg.czt.zj.gov.cn/bidClientTemplate/2019-09-24/12975.html" </w:instrText>
      </w:r>
      <w:r>
        <w:fldChar w:fldCharType="separate"/>
      </w:r>
      <w:r>
        <w:rPr>
          <w:rFonts w:hint="eastAsia" w:ascii="宋体" w:hAnsi="宋体" w:cs="宋体"/>
          <w:sz w:val="24"/>
          <w:szCs w:val="24"/>
        </w:rPr>
        <w:t>http://zfcg.czt.zj.gov.cn/bidClientTemplate/2019-09-24/12975.html</w:t>
      </w:r>
      <w:r>
        <w:rPr>
          <w:rFonts w:hint="eastAsia" w:ascii="宋体" w:hAnsi="宋体" w:cs="宋体"/>
          <w:sz w:val="24"/>
          <w:szCs w:val="24"/>
        </w:rPr>
        <w:fldChar w:fldCharType="end"/>
      </w:r>
    </w:p>
    <w:p>
      <w:pPr>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《供应商-政府采购项目电子交易操作指南》：(需登录账号后查看)</w:t>
      </w:r>
    </w:p>
    <w:p>
      <w:pPr>
        <w:adjustRightInd w:val="0"/>
        <w:spacing w:line="360" w:lineRule="auto"/>
        <w:ind w:firstLine="420" w:firstLineChars="200"/>
        <w:jc w:val="left"/>
        <w:rPr>
          <w:rFonts w:ascii="宋体" w:hAnsi="宋体" w:cs="宋体"/>
          <w:sz w:val="24"/>
          <w:szCs w:val="24"/>
        </w:rPr>
      </w:pPr>
      <w:r>
        <w:fldChar w:fldCharType="begin"/>
      </w:r>
      <w:r>
        <w:instrText xml:space="preserve"> HYPERLINK "https://service.zcygov.cn/" \l "/knowledges/tree?tag=AG1DtGwBFdiHxlNdhY0r" </w:instrText>
      </w:r>
      <w:r>
        <w:fldChar w:fldCharType="separate"/>
      </w:r>
      <w:r>
        <w:rPr>
          <w:rFonts w:hint="eastAsia" w:ascii="宋体" w:hAnsi="宋体" w:cs="宋体"/>
          <w:sz w:val="24"/>
          <w:szCs w:val="24"/>
        </w:rPr>
        <w:t>https://service.zcygov.cn/#/knowledges/tree?tag=AG1DtGwBFdiHxlNdhY0r</w:t>
      </w:r>
      <w:r>
        <w:rPr>
          <w:rFonts w:hint="eastAsia" w:ascii="宋体" w:hAnsi="宋体" w:cs="宋体"/>
          <w:sz w:val="24"/>
          <w:szCs w:val="24"/>
        </w:rPr>
        <w:fldChar w:fldCharType="end"/>
      </w:r>
    </w:p>
    <w:p>
      <w:pPr>
        <w:adjustRightInd w:val="0"/>
        <w:spacing w:line="360" w:lineRule="auto"/>
        <w:ind w:left="420" w:leftChars="200"/>
        <w:rPr>
          <w:rFonts w:ascii="宋体" w:hAnsi="宋体" w:cs="宋体"/>
          <w:sz w:val="24"/>
          <w:szCs w:val="24"/>
        </w:rPr>
      </w:pPr>
      <w:r>
        <w:rPr>
          <w:rFonts w:hint="eastAsia" w:ascii="宋体" w:hAnsi="宋体" w:cs="宋体"/>
          <w:sz w:val="24"/>
          <w:szCs w:val="24"/>
        </w:rPr>
        <w:t>4.供应商在法定质疑期内应一次性提出针对同一采购程序环节的质疑。否则质疑将不予受理。</w:t>
      </w:r>
    </w:p>
    <w:p>
      <w:pPr>
        <w:adjustRightInd w:val="0"/>
        <w:spacing w:line="360" w:lineRule="auto"/>
        <w:ind w:left="420" w:leftChars="200"/>
        <w:rPr>
          <w:rFonts w:ascii="宋体" w:hAnsi="宋体" w:cs="宋体"/>
          <w:sz w:val="24"/>
          <w:szCs w:val="24"/>
        </w:rPr>
      </w:pPr>
      <w:r>
        <w:rPr>
          <w:rFonts w:hint="eastAsia" w:ascii="宋体" w:hAnsi="宋体" w:cs="宋体"/>
          <w:sz w:val="24"/>
          <w:szCs w:val="24"/>
        </w:rPr>
        <w:t>5.投标人可指派授权代表递交备份文件，授权代表递交备份文件需携带法定代表人授权书原件，于投标截止时间前到达开标地点递交。</w:t>
      </w:r>
    </w:p>
    <w:p>
      <w:pPr>
        <w:adjustRightInd w:val="0"/>
        <w:spacing w:line="360" w:lineRule="auto"/>
        <w:ind w:left="420" w:leftChars="200"/>
        <w:rPr>
          <w:rFonts w:ascii="宋体" w:hAnsi="宋体" w:cs="宋体"/>
          <w:sz w:val="24"/>
          <w:szCs w:val="24"/>
        </w:rPr>
      </w:pPr>
      <w:r>
        <w:rPr>
          <w:rFonts w:hint="eastAsia" w:ascii="宋体" w:hAnsi="宋体" w:cs="宋体"/>
          <w:sz w:val="24"/>
          <w:szCs w:val="24"/>
        </w:rPr>
        <w:t>6.特别提醒</w:t>
      </w:r>
    </w:p>
    <w:p>
      <w:pPr>
        <w:numPr>
          <w:ilvl w:val="0"/>
          <w:numId w:val="7"/>
        </w:numPr>
        <w:wordWrap w:val="0"/>
        <w:adjustRightInd w:val="0"/>
        <w:spacing w:line="360" w:lineRule="auto"/>
        <w:ind w:firstLine="480" w:firstLineChars="200"/>
        <w:rPr>
          <w:rFonts w:ascii="宋体" w:hAnsi="宋体" w:cs="宋体"/>
          <w:sz w:val="24"/>
          <w:szCs w:val="24"/>
        </w:rPr>
      </w:pPr>
      <w:r>
        <w:rPr>
          <w:rFonts w:hint="eastAsia" w:ascii="宋体" w:hAnsi="宋体" w:cs="宋体"/>
          <w:sz w:val="24"/>
          <w:szCs w:val="24"/>
        </w:rPr>
        <w:t>单位负责人为同一人或者存在直接控股、管理关系的不同供应商，不得参加同一合同项下的政府采购活动。</w:t>
      </w:r>
    </w:p>
    <w:p>
      <w:pPr>
        <w:numPr>
          <w:ilvl w:val="0"/>
          <w:numId w:val="7"/>
        </w:numPr>
        <w:wordWrap w:val="0"/>
        <w:adjustRightInd w:val="0"/>
        <w:spacing w:line="360" w:lineRule="auto"/>
        <w:ind w:firstLine="480" w:firstLineChars="200"/>
        <w:rPr>
          <w:rFonts w:ascii="宋体" w:hAnsi="宋体" w:cs="宋体"/>
          <w:b/>
          <w:sz w:val="24"/>
          <w:szCs w:val="24"/>
        </w:rPr>
      </w:pPr>
      <w:r>
        <w:rPr>
          <w:rFonts w:hint="eastAsia" w:ascii="宋体" w:hAnsi="宋体" w:cs="宋体"/>
          <w:sz w:val="24"/>
          <w:szCs w:val="24"/>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宋体"/>
          <w:sz w:val="24"/>
          <w:szCs w:val="24"/>
        </w:rPr>
      </w:pPr>
      <w:r>
        <w:rPr>
          <w:rFonts w:hint="eastAsia" w:ascii="宋体" w:hAnsi="宋体" w:cs="宋体"/>
          <w:b/>
          <w:bCs/>
          <w:sz w:val="24"/>
          <w:szCs w:val="24"/>
        </w:rPr>
        <w:t>七．磋商响应截止时间及要求：</w:t>
      </w:r>
      <w:r>
        <w:rPr>
          <w:rFonts w:ascii="宋体" w:hAnsi="宋体" w:cs="宋体"/>
          <w:sz w:val="24"/>
          <w:szCs w:val="24"/>
          <w:u w:val="single"/>
        </w:rPr>
        <w:t xml:space="preserve"> 2023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u w:val="single"/>
        </w:rPr>
        <w:t xml:space="preserve">6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u w:val="single"/>
        </w:rPr>
        <w:t xml:space="preserve">7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上午</w:t>
      </w:r>
      <w:r>
        <w:rPr>
          <w:rFonts w:ascii="宋体" w:hAnsi="宋体" w:cs="宋体"/>
          <w:sz w:val="24"/>
          <w:szCs w:val="24"/>
          <w:u w:val="single"/>
        </w:rPr>
        <w:t xml:space="preserve"> </w:t>
      </w:r>
      <w:r>
        <w:rPr>
          <w:rFonts w:hint="eastAsia" w:ascii="宋体" w:hAnsi="宋体" w:cs="宋体"/>
          <w:sz w:val="24"/>
          <w:szCs w:val="24"/>
          <w:u w:val="single"/>
        </w:rPr>
        <w:t>09</w:t>
      </w:r>
      <w:r>
        <w:rPr>
          <w:rFonts w:ascii="宋体" w:hAnsi="宋体" w:cs="宋体"/>
          <w:sz w:val="24"/>
          <w:szCs w:val="24"/>
          <w:u w:val="single"/>
        </w:rPr>
        <w:t xml:space="preserve"> </w:t>
      </w:r>
      <w:r>
        <w:rPr>
          <w:rFonts w:hint="eastAsia" w:ascii="宋体" w:hAnsi="宋体" w:cs="宋体"/>
          <w:sz w:val="24"/>
          <w:szCs w:val="24"/>
        </w:rPr>
        <w:t>时</w:t>
      </w:r>
      <w:r>
        <w:rPr>
          <w:rFonts w:ascii="宋体" w:hAnsi="宋体" w:cs="宋体"/>
          <w:sz w:val="24"/>
          <w:szCs w:val="24"/>
          <w:u w:val="single"/>
        </w:rPr>
        <w:t xml:space="preserve"> </w:t>
      </w:r>
      <w:r>
        <w:rPr>
          <w:rFonts w:hint="eastAsia" w:ascii="宋体" w:hAnsi="宋体" w:cs="宋体"/>
          <w:sz w:val="24"/>
          <w:szCs w:val="24"/>
          <w:u w:val="single"/>
        </w:rPr>
        <w:t>3</w:t>
      </w:r>
      <w:r>
        <w:rPr>
          <w:rFonts w:ascii="宋体" w:hAnsi="宋体" w:cs="宋体"/>
          <w:sz w:val="24"/>
          <w:szCs w:val="24"/>
          <w:u w:val="single"/>
        </w:rPr>
        <w:t xml:space="preserve">0 </w:t>
      </w:r>
      <w:r>
        <w:rPr>
          <w:rFonts w:hint="eastAsia" w:ascii="宋体" w:hAnsi="宋体" w:cs="宋体"/>
          <w:sz w:val="24"/>
          <w:szCs w:val="24"/>
        </w:rPr>
        <w:t>分整</w:t>
      </w:r>
      <w:r>
        <w:rPr>
          <w:rFonts w:hint="eastAsia" w:ascii="宋体" w:hAnsi="宋体" w:cs="宋体"/>
          <w:kern w:val="0"/>
          <w:sz w:val="24"/>
          <w:szCs w:val="24"/>
        </w:rPr>
        <w:t>之前将电子磋商响应文件上传到“政采云”平台。</w:t>
      </w:r>
    </w:p>
    <w:p>
      <w:pPr>
        <w:adjustRightInd w:val="0"/>
        <w:spacing w:line="360" w:lineRule="auto"/>
        <w:ind w:firstLine="482" w:firstLineChars="200"/>
        <w:jc w:val="left"/>
        <w:rPr>
          <w:rFonts w:ascii="宋体"/>
          <w:sz w:val="24"/>
          <w:szCs w:val="24"/>
        </w:rPr>
      </w:pPr>
      <w:r>
        <w:rPr>
          <w:rFonts w:hint="eastAsia" w:ascii="宋体" w:hAnsi="宋体" w:cs="宋体"/>
          <w:b/>
          <w:bCs/>
          <w:sz w:val="24"/>
          <w:szCs w:val="24"/>
        </w:rPr>
        <w:t>八．递交首次响应文件时间及地点：</w:t>
      </w:r>
      <w:r>
        <w:rPr>
          <w:rFonts w:ascii="宋体" w:hAnsi="宋体" w:cs="宋体"/>
          <w:sz w:val="24"/>
          <w:szCs w:val="24"/>
          <w:u w:val="single"/>
        </w:rPr>
        <w:t xml:space="preserve"> 2023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u w:val="single"/>
        </w:rPr>
        <w:t xml:space="preserve">6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u w:val="single"/>
        </w:rPr>
        <w:t xml:space="preserve">7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上午</w:t>
      </w:r>
      <w:r>
        <w:rPr>
          <w:rFonts w:ascii="宋体" w:hAnsi="宋体" w:cs="宋体"/>
          <w:sz w:val="24"/>
          <w:szCs w:val="24"/>
          <w:u w:val="single"/>
        </w:rPr>
        <w:t xml:space="preserve"> </w:t>
      </w:r>
      <w:r>
        <w:rPr>
          <w:rFonts w:hint="eastAsia" w:ascii="宋体" w:hAnsi="宋体" w:cs="宋体"/>
          <w:sz w:val="24"/>
          <w:szCs w:val="24"/>
          <w:u w:val="single"/>
        </w:rPr>
        <w:t>09</w:t>
      </w:r>
      <w:r>
        <w:rPr>
          <w:rFonts w:ascii="宋体" w:hAnsi="宋体" w:cs="宋体"/>
          <w:sz w:val="24"/>
          <w:szCs w:val="24"/>
          <w:u w:val="single"/>
        </w:rPr>
        <w:t xml:space="preserve"> </w:t>
      </w:r>
      <w:r>
        <w:rPr>
          <w:rFonts w:hint="eastAsia" w:ascii="宋体" w:hAnsi="宋体" w:cs="宋体"/>
          <w:sz w:val="24"/>
          <w:szCs w:val="24"/>
        </w:rPr>
        <w:t>时</w:t>
      </w:r>
      <w:r>
        <w:rPr>
          <w:rFonts w:ascii="宋体" w:hAnsi="宋体" w:cs="宋体"/>
          <w:sz w:val="24"/>
          <w:szCs w:val="24"/>
          <w:u w:val="single"/>
        </w:rPr>
        <w:t xml:space="preserve"> </w:t>
      </w:r>
      <w:r>
        <w:rPr>
          <w:rFonts w:hint="eastAsia" w:ascii="宋体" w:hAnsi="宋体" w:cs="宋体"/>
          <w:sz w:val="24"/>
          <w:szCs w:val="24"/>
          <w:u w:val="single"/>
        </w:rPr>
        <w:t>3</w:t>
      </w:r>
      <w:r>
        <w:rPr>
          <w:rFonts w:ascii="宋体" w:hAnsi="宋体" w:cs="宋体"/>
          <w:sz w:val="24"/>
          <w:szCs w:val="24"/>
          <w:u w:val="single"/>
        </w:rPr>
        <w:t xml:space="preserve">0 </w:t>
      </w:r>
      <w:r>
        <w:rPr>
          <w:rFonts w:hint="eastAsia" w:ascii="宋体" w:hAnsi="宋体" w:cs="宋体"/>
          <w:sz w:val="24"/>
          <w:szCs w:val="24"/>
        </w:rPr>
        <w:t>分</w:t>
      </w:r>
      <w:bookmarkStart w:id="6" w:name="B30_开标地点"/>
      <w:r>
        <w:rPr>
          <w:rFonts w:hint="eastAsia" w:ascii="宋体" w:hAnsi="宋体" w:cs="宋体"/>
          <w:sz w:val="24"/>
          <w:szCs w:val="24"/>
        </w:rPr>
        <w:t>整在上虞区公共资源交易中心三楼</w:t>
      </w:r>
      <w:r>
        <w:rPr>
          <w:rFonts w:hint="eastAsia" w:ascii="宋体" w:hAnsi="宋体" w:cs="宋体"/>
          <w:sz w:val="24"/>
          <w:szCs w:val="24"/>
          <w:u w:val="single"/>
        </w:rPr>
        <w:t>375</w:t>
      </w:r>
      <w:r>
        <w:rPr>
          <w:rFonts w:hint="eastAsia" w:ascii="宋体" w:hAnsi="宋体" w:cs="宋体"/>
          <w:sz w:val="24"/>
          <w:szCs w:val="24"/>
        </w:rPr>
        <w:t>开标室开标。</w:t>
      </w:r>
      <w:bookmarkEnd w:id="6"/>
    </w:p>
    <w:p>
      <w:pPr>
        <w:adjustRightInd w:val="0"/>
        <w:spacing w:line="360" w:lineRule="auto"/>
        <w:ind w:firstLine="480" w:firstLineChars="200"/>
        <w:rPr>
          <w:rFonts w:ascii="宋体"/>
          <w:sz w:val="24"/>
          <w:szCs w:val="24"/>
        </w:rPr>
      </w:pPr>
      <w:r>
        <w:rPr>
          <w:rFonts w:hint="eastAsia" w:ascii="宋体" w:hAnsi="宋体" w:cs="宋体"/>
          <w:sz w:val="24"/>
          <w:szCs w:val="24"/>
        </w:rPr>
        <w:t>开标时间后</w:t>
      </w:r>
      <w:r>
        <w:rPr>
          <w:rFonts w:ascii="宋体" w:hAnsi="宋体" w:cs="宋体"/>
          <w:sz w:val="24"/>
          <w:szCs w:val="24"/>
        </w:rPr>
        <w:t>30</w:t>
      </w:r>
      <w:r>
        <w:rPr>
          <w:rFonts w:hint="eastAsia" w:ascii="宋体" w:hAnsi="宋体" w:cs="宋体"/>
          <w:sz w:val="24"/>
          <w:szCs w:val="24"/>
        </w:rPr>
        <w:t>分钟内（</w:t>
      </w:r>
      <w:r>
        <w:rPr>
          <w:rFonts w:ascii="宋体" w:hAnsi="宋体" w:cs="宋体"/>
          <w:sz w:val="24"/>
          <w:szCs w:val="24"/>
        </w:rPr>
        <w:t>2023</w:t>
      </w:r>
      <w:r>
        <w:rPr>
          <w:rFonts w:hint="eastAsia" w:ascii="宋体" w:hAnsi="宋体" w:cs="宋体"/>
          <w:sz w:val="24"/>
          <w:szCs w:val="24"/>
        </w:rPr>
        <w:t>年6月7日</w:t>
      </w:r>
      <w:r>
        <w:rPr>
          <w:rFonts w:ascii="宋体" w:hAnsi="宋体" w:cs="宋体"/>
          <w:sz w:val="24"/>
          <w:szCs w:val="24"/>
        </w:rPr>
        <w:t xml:space="preserve"> </w:t>
      </w:r>
      <w:r>
        <w:rPr>
          <w:rFonts w:hint="eastAsia" w:ascii="宋体" w:hAnsi="宋体" w:cs="宋体"/>
          <w:sz w:val="24"/>
          <w:szCs w:val="24"/>
        </w:rPr>
        <w:t>10</w:t>
      </w:r>
      <w:r>
        <w:rPr>
          <w:rFonts w:ascii="宋体" w:hAnsi="宋体" w:cs="宋体"/>
          <w:sz w:val="24"/>
          <w:szCs w:val="24"/>
        </w:rPr>
        <w:t xml:space="preserve"> : </w:t>
      </w:r>
      <w:r>
        <w:rPr>
          <w:rFonts w:hint="eastAsia" w:ascii="宋体" w:hAnsi="宋体" w:cs="宋体"/>
          <w:sz w:val="24"/>
          <w:szCs w:val="24"/>
        </w:rPr>
        <w:t>0</w:t>
      </w:r>
      <w:r>
        <w:rPr>
          <w:rFonts w:ascii="宋体" w:hAnsi="宋体" w:cs="宋体"/>
          <w:sz w:val="24"/>
          <w:szCs w:val="24"/>
        </w:rPr>
        <w:t xml:space="preserve">0 </w:t>
      </w:r>
      <w:r>
        <w:rPr>
          <w:rFonts w:hint="eastAsia" w:ascii="宋体" w:hAnsi="宋体" w:cs="宋体"/>
          <w:sz w:val="24"/>
          <w:szCs w:val="24"/>
        </w:rPr>
        <w:t>前）供应商可以登录“政采云”平台，用“项目采购</w:t>
      </w:r>
      <w:r>
        <w:rPr>
          <w:rFonts w:ascii="宋体" w:cs="宋体"/>
          <w:sz w:val="24"/>
          <w:szCs w:val="24"/>
        </w:rPr>
        <w:t>-</w:t>
      </w:r>
      <w:r>
        <w:rPr>
          <w:rFonts w:hint="eastAsia" w:ascii="宋体" w:hAnsi="宋体" w:cs="宋体"/>
          <w:sz w:val="24"/>
          <w:szCs w:val="24"/>
        </w:rPr>
        <w:t>开标评标”功能进行解密响应文件。若供应商在规定时间内（</w:t>
      </w:r>
      <w:r>
        <w:rPr>
          <w:rFonts w:ascii="宋体" w:hAnsi="宋体" w:cs="宋体"/>
          <w:sz w:val="24"/>
          <w:szCs w:val="24"/>
        </w:rPr>
        <w:t>2023</w:t>
      </w:r>
      <w:r>
        <w:rPr>
          <w:rFonts w:hint="eastAsia" w:ascii="宋体" w:hAnsi="宋体" w:cs="宋体"/>
          <w:sz w:val="24"/>
          <w:szCs w:val="24"/>
        </w:rPr>
        <w:t>年6月7日</w:t>
      </w:r>
      <w:r>
        <w:rPr>
          <w:rFonts w:ascii="宋体" w:hAnsi="宋体" w:cs="宋体"/>
          <w:sz w:val="24"/>
          <w:szCs w:val="24"/>
        </w:rPr>
        <w:t xml:space="preserve"> </w:t>
      </w:r>
      <w:r>
        <w:rPr>
          <w:rFonts w:hint="eastAsia" w:ascii="宋体" w:hAnsi="宋体" w:cs="宋体"/>
          <w:sz w:val="24"/>
          <w:szCs w:val="24"/>
        </w:rPr>
        <w:t>10</w:t>
      </w:r>
      <w:r>
        <w:rPr>
          <w:rFonts w:ascii="宋体" w:hAnsi="宋体" w:cs="宋体"/>
          <w:sz w:val="24"/>
          <w:szCs w:val="24"/>
        </w:rPr>
        <w:t xml:space="preserve"> : </w:t>
      </w:r>
      <w:r>
        <w:rPr>
          <w:rFonts w:hint="eastAsia" w:ascii="宋体" w:hAnsi="宋体" w:cs="宋体"/>
          <w:sz w:val="24"/>
          <w:szCs w:val="24"/>
        </w:rPr>
        <w:t>0</w:t>
      </w:r>
      <w:r>
        <w:rPr>
          <w:rFonts w:ascii="宋体" w:hAnsi="宋体" w:cs="宋体"/>
          <w:sz w:val="24"/>
          <w:szCs w:val="24"/>
        </w:rPr>
        <w:t xml:space="preserve">0 </w:t>
      </w:r>
      <w:r>
        <w:rPr>
          <w:rFonts w:hint="eastAsia" w:ascii="宋体" w:hAnsi="宋体" w:cs="宋体"/>
          <w:sz w:val="24"/>
          <w:szCs w:val="24"/>
        </w:rPr>
        <w:t>前）解密失败，则由采购代理机构工作人员上传供应商提供的备份文件。备份文件（后缀名为</w:t>
      </w:r>
      <w:r>
        <w:rPr>
          <w:rFonts w:ascii="宋体" w:hAnsi="宋体" w:cs="宋体"/>
          <w:sz w:val="24"/>
          <w:szCs w:val="24"/>
        </w:rPr>
        <w:t>.bfbs</w:t>
      </w:r>
      <w:r>
        <w:rPr>
          <w:rFonts w:hint="eastAsia" w:ascii="宋体" w:hAnsi="宋体" w:cs="宋体"/>
          <w:sz w:val="24"/>
          <w:szCs w:val="24"/>
        </w:rPr>
        <w:t>）须存储在</w:t>
      </w:r>
      <w:r>
        <w:rPr>
          <w:rFonts w:ascii="宋体" w:hAnsi="宋体" w:cs="宋体"/>
          <w:sz w:val="24"/>
          <w:szCs w:val="24"/>
        </w:rPr>
        <w:t>U</w:t>
      </w:r>
      <w:r>
        <w:rPr>
          <w:rFonts w:hint="eastAsia" w:ascii="宋体" w:hAnsi="宋体" w:cs="宋体"/>
          <w:sz w:val="24"/>
          <w:szCs w:val="24"/>
        </w:rPr>
        <w:t>盘中，与上传的电子磋商响应文件一致，用信封进行密封并盖章</w:t>
      </w:r>
      <w:r>
        <w:rPr>
          <w:rFonts w:hint="eastAsia" w:ascii="宋体" w:hAnsi="宋体" w:cs="宋体"/>
          <w:b/>
          <w:bCs/>
          <w:sz w:val="24"/>
          <w:szCs w:val="24"/>
        </w:rPr>
        <w:t>（信封内仅需放入存储备份文件的</w:t>
      </w:r>
      <w:r>
        <w:rPr>
          <w:rFonts w:ascii="宋体" w:hAnsi="宋体" w:cs="宋体"/>
          <w:b/>
          <w:bCs/>
          <w:sz w:val="24"/>
          <w:szCs w:val="24"/>
        </w:rPr>
        <w:t>U</w:t>
      </w:r>
      <w:r>
        <w:rPr>
          <w:rFonts w:hint="eastAsia" w:ascii="宋体" w:hAnsi="宋体" w:cs="宋体"/>
          <w:b/>
          <w:bCs/>
          <w:sz w:val="24"/>
          <w:szCs w:val="24"/>
        </w:rPr>
        <w:t>盘）</w:t>
      </w:r>
      <w:r>
        <w:rPr>
          <w:rFonts w:hint="eastAsia" w:ascii="宋体" w:hAnsi="宋体" w:cs="宋体"/>
          <w:sz w:val="24"/>
          <w:szCs w:val="24"/>
        </w:rPr>
        <w:t>，由授权代表在磋商响应截止时间前递交至开标地点。若电子磋商响应文件正常解锁，则</w:t>
      </w:r>
      <w:r>
        <w:rPr>
          <w:rFonts w:ascii="宋体" w:hAnsi="宋体" w:cs="宋体"/>
          <w:sz w:val="24"/>
          <w:szCs w:val="24"/>
        </w:rPr>
        <w:t>U</w:t>
      </w:r>
      <w:r>
        <w:rPr>
          <w:rFonts w:hint="eastAsia" w:ascii="宋体" w:hAnsi="宋体" w:cs="宋体"/>
          <w:sz w:val="24"/>
          <w:szCs w:val="24"/>
        </w:rPr>
        <w:t>盘退还给供应商；若解锁失败，则由采购代理机构将</w:t>
      </w:r>
      <w:r>
        <w:rPr>
          <w:rFonts w:ascii="宋体" w:hAnsi="宋体" w:cs="宋体"/>
          <w:sz w:val="24"/>
          <w:szCs w:val="24"/>
        </w:rPr>
        <w:t>U</w:t>
      </w:r>
      <w:r>
        <w:rPr>
          <w:rFonts w:hint="eastAsia" w:ascii="宋体" w:hAnsi="宋体" w:cs="宋体"/>
          <w:sz w:val="24"/>
          <w:szCs w:val="24"/>
        </w:rPr>
        <w:t>盘中的备份文件上传，该</w:t>
      </w:r>
      <w:r>
        <w:rPr>
          <w:rFonts w:ascii="宋体" w:hAnsi="宋体" w:cs="宋体"/>
          <w:sz w:val="24"/>
          <w:szCs w:val="24"/>
        </w:rPr>
        <w:t>U</w:t>
      </w:r>
      <w:r>
        <w:rPr>
          <w:rFonts w:hint="eastAsia" w:ascii="宋体" w:hAnsi="宋体" w:cs="宋体"/>
          <w:sz w:val="24"/>
          <w:szCs w:val="24"/>
        </w:rPr>
        <w:t>盘将由采购代理机构保存。</w:t>
      </w:r>
    </w:p>
    <w:p>
      <w:pPr>
        <w:adjustRightInd w:val="0"/>
        <w:spacing w:line="360" w:lineRule="auto"/>
        <w:ind w:firstLine="480" w:firstLineChars="200"/>
        <w:rPr>
          <w:rFonts w:ascii="宋体"/>
          <w:kern w:val="0"/>
          <w:sz w:val="24"/>
          <w:szCs w:val="24"/>
        </w:rPr>
      </w:pPr>
      <w:r>
        <w:rPr>
          <w:rFonts w:hint="eastAsia" w:ascii="宋体" w:hAnsi="宋体" w:cs="宋体"/>
          <w:sz w:val="24"/>
          <w:szCs w:val="24"/>
        </w:rPr>
        <w:t>本次开标不提供现场视频。</w:t>
      </w:r>
    </w:p>
    <w:p>
      <w:pPr>
        <w:adjustRightInd w:val="0"/>
        <w:spacing w:line="360" w:lineRule="auto"/>
        <w:ind w:firstLine="480" w:firstLineChars="200"/>
        <w:rPr>
          <w:rFonts w:ascii="宋体"/>
          <w:sz w:val="24"/>
          <w:szCs w:val="24"/>
        </w:rPr>
      </w:pPr>
      <w:r>
        <w:rPr>
          <w:rFonts w:hint="eastAsia" w:ascii="宋体" w:hAnsi="宋体" w:cs="宋体"/>
          <w:sz w:val="24"/>
          <w:szCs w:val="24"/>
        </w:rPr>
        <w:t>九．磋商保证金：无</w:t>
      </w:r>
    </w:p>
    <w:p>
      <w:pPr>
        <w:adjustRightInd w:val="0"/>
        <w:spacing w:line="360" w:lineRule="auto"/>
        <w:ind w:firstLine="480" w:firstLineChars="200"/>
        <w:rPr>
          <w:rFonts w:ascii="宋体"/>
          <w:sz w:val="24"/>
          <w:szCs w:val="24"/>
        </w:rPr>
      </w:pPr>
      <w:r>
        <w:rPr>
          <w:rFonts w:hint="eastAsia" w:ascii="宋体" w:hAnsi="宋体" w:cs="宋体"/>
          <w:sz w:val="24"/>
          <w:szCs w:val="24"/>
        </w:rPr>
        <w:t>十．公告期限：3个工作日</w:t>
      </w:r>
    </w:p>
    <w:p>
      <w:pPr>
        <w:adjustRightInd w:val="0"/>
        <w:spacing w:line="360" w:lineRule="auto"/>
        <w:ind w:firstLine="480" w:firstLineChars="200"/>
        <w:rPr>
          <w:rFonts w:ascii="宋体"/>
          <w:sz w:val="24"/>
          <w:szCs w:val="24"/>
        </w:rPr>
      </w:pPr>
      <w:r>
        <w:rPr>
          <w:rFonts w:hint="eastAsia" w:ascii="宋体" w:hAnsi="宋体" w:cs="宋体"/>
          <w:sz w:val="24"/>
          <w:szCs w:val="24"/>
        </w:rPr>
        <w:t>十一．联系方式：</w:t>
      </w:r>
    </w:p>
    <w:p>
      <w:pPr>
        <w:adjustRightIn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．采购代理机构名称：浙江天平项目咨询有限公司</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 xml:space="preserve">项目联系人（询问）：陈锦钟               </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 xml:space="preserve">项目联系方式（询问）：13587399711           </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 xml:space="preserve">质疑联系人：王佳煜              </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质疑联系方式：</w:t>
      </w:r>
      <w:r>
        <w:rPr>
          <w:rFonts w:ascii="宋体" w:hAnsi="宋体" w:cs="宋体"/>
          <w:sz w:val="24"/>
          <w:szCs w:val="24"/>
        </w:rPr>
        <w:t>1</w:t>
      </w:r>
      <w:r>
        <w:rPr>
          <w:rFonts w:hint="eastAsia" w:ascii="宋体" w:hAnsi="宋体" w:cs="宋体"/>
          <w:sz w:val="24"/>
          <w:szCs w:val="24"/>
        </w:rPr>
        <w:t xml:space="preserve">5167042542        </w:t>
      </w:r>
    </w:p>
    <w:p>
      <w:pPr>
        <w:adjustRightInd w:val="0"/>
        <w:spacing w:line="360" w:lineRule="auto"/>
        <w:ind w:firstLine="480" w:firstLineChars="200"/>
        <w:rPr>
          <w:rFonts w:ascii="宋体"/>
          <w:sz w:val="24"/>
          <w:szCs w:val="24"/>
        </w:rPr>
      </w:pPr>
      <w:r>
        <w:rPr>
          <w:rFonts w:hint="eastAsia" w:ascii="宋体" w:hAnsi="宋体" w:cs="宋体"/>
          <w:sz w:val="24"/>
          <w:szCs w:val="24"/>
        </w:rPr>
        <w:t>地址：绍兴市上虞区百官街道江东北路</w:t>
      </w:r>
      <w:r>
        <w:rPr>
          <w:rFonts w:ascii="宋体" w:hAnsi="宋体" w:cs="宋体"/>
          <w:sz w:val="24"/>
          <w:szCs w:val="24"/>
        </w:rPr>
        <w:t>588</w:t>
      </w:r>
      <w:r>
        <w:rPr>
          <w:rFonts w:hint="eastAsia" w:ascii="宋体" w:hAnsi="宋体" w:cs="宋体"/>
          <w:sz w:val="24"/>
          <w:szCs w:val="24"/>
        </w:rPr>
        <w:t xml:space="preserve">号百官广场11楼  </w:t>
      </w:r>
    </w:p>
    <w:p>
      <w:pPr>
        <w:adjustRightIn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．采购人名称：绍兴市上虞区水文站</w:t>
      </w:r>
      <w:r>
        <w:rPr>
          <w:rFonts w:ascii="宋体" w:hAnsi="宋体" w:cs="宋体"/>
          <w:sz w:val="24"/>
          <w:szCs w:val="24"/>
        </w:rPr>
        <w:t xml:space="preserve">  </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项目联系人（询问）：</w:t>
      </w:r>
      <w:r>
        <w:rPr>
          <w:rFonts w:hint="eastAsia" w:ascii="宋体" w:hAnsi="宋体" w:cs="宋体"/>
          <w:sz w:val="24"/>
        </w:rPr>
        <w:t>宋先生</w:t>
      </w:r>
      <w:r>
        <w:rPr>
          <w:rFonts w:hint="eastAsia" w:ascii="宋体" w:hAnsi="宋体" w:cs="宋体"/>
          <w:sz w:val="24"/>
          <w:szCs w:val="24"/>
        </w:rPr>
        <w:t xml:space="preserve">  </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项目联系方式（询问）：</w:t>
      </w:r>
      <w:r>
        <w:rPr>
          <w:rFonts w:ascii="宋体" w:hAnsi="宋体" w:cs="宋体"/>
          <w:sz w:val="24"/>
        </w:rPr>
        <w:t>18258023581</w:t>
      </w:r>
      <w:r>
        <w:rPr>
          <w:rFonts w:hint="eastAsia" w:ascii="宋体" w:hAnsi="宋体" w:cs="宋体"/>
          <w:sz w:val="24"/>
          <w:szCs w:val="24"/>
        </w:rPr>
        <w:t xml:space="preserve"> </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质疑联系人：陈先生</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 xml:space="preserve">质疑联系方式：15157530018 </w:t>
      </w:r>
      <w:r>
        <w:rPr>
          <w:rFonts w:hint="eastAsia" w:ascii="宋体" w:hAnsi="宋体" w:cs="宋体"/>
          <w:sz w:val="24"/>
        </w:rPr>
        <w:t xml:space="preserve">  </w:t>
      </w:r>
      <w:r>
        <w:rPr>
          <w:rFonts w:hint="eastAsia" w:ascii="宋体" w:hAnsi="宋体" w:cs="宋体"/>
          <w:sz w:val="24"/>
          <w:szCs w:val="24"/>
        </w:rPr>
        <w:t xml:space="preserve">  </w:t>
      </w:r>
    </w:p>
    <w:p>
      <w:pPr>
        <w:widowControl/>
        <w:adjustRightInd w:val="0"/>
        <w:spacing w:line="360" w:lineRule="auto"/>
        <w:ind w:firstLine="480" w:firstLineChars="200"/>
        <w:rPr>
          <w:rFonts w:ascii="宋体" w:hAnsi="宋体" w:cs="宋体"/>
          <w:kern w:val="0"/>
          <w:sz w:val="24"/>
        </w:rPr>
      </w:pPr>
      <w:r>
        <w:rPr>
          <w:rFonts w:hint="eastAsia" w:ascii="宋体" w:hAnsi="宋体" w:cs="宋体"/>
          <w:kern w:val="0"/>
          <w:sz w:val="24"/>
        </w:rPr>
        <w:t>地址：绍兴市上虞区</w:t>
      </w:r>
      <w:r>
        <w:rPr>
          <w:rFonts w:hint="eastAsia" w:hAnsi="宋体"/>
          <w:kern w:val="0"/>
          <w:sz w:val="24"/>
        </w:rPr>
        <w:t>上浦镇</w:t>
      </w:r>
    </w:p>
    <w:p>
      <w:pPr>
        <w:adjustRightInd w:val="0"/>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．同级政府采购监督管理部门名称：上虞区财政局政府采购监管科</w:t>
      </w:r>
    </w:p>
    <w:p>
      <w:pPr>
        <w:adjustRightInd w:val="0"/>
        <w:spacing w:line="360" w:lineRule="auto"/>
        <w:ind w:firstLine="480" w:firstLineChars="200"/>
        <w:rPr>
          <w:rFonts w:ascii="宋体"/>
          <w:sz w:val="24"/>
          <w:szCs w:val="24"/>
        </w:rPr>
      </w:pPr>
      <w:r>
        <w:rPr>
          <w:rFonts w:hint="eastAsia" w:ascii="宋体" w:hAnsi="宋体" w:cs="宋体"/>
          <w:sz w:val="24"/>
          <w:szCs w:val="24"/>
        </w:rPr>
        <w:t>联系人：谷先生</w:t>
      </w:r>
    </w:p>
    <w:p>
      <w:pPr>
        <w:adjustRightInd w:val="0"/>
        <w:spacing w:line="360" w:lineRule="auto"/>
        <w:ind w:firstLine="480" w:firstLineChars="200"/>
        <w:rPr>
          <w:rFonts w:ascii="宋体"/>
          <w:sz w:val="24"/>
          <w:szCs w:val="24"/>
        </w:rPr>
      </w:pPr>
      <w:r>
        <w:rPr>
          <w:rFonts w:hint="eastAsia" w:ascii="宋体" w:hAnsi="宋体" w:cs="宋体"/>
          <w:sz w:val="24"/>
          <w:szCs w:val="24"/>
        </w:rPr>
        <w:t>监督投诉电话：</w:t>
      </w:r>
      <w:r>
        <w:rPr>
          <w:rFonts w:ascii="宋体" w:hAnsi="宋体" w:cs="宋体"/>
          <w:sz w:val="24"/>
          <w:szCs w:val="24"/>
        </w:rPr>
        <w:t>0575-82130212</w:t>
      </w:r>
    </w:p>
    <w:p>
      <w:pPr>
        <w:adjustRightInd w:val="0"/>
        <w:spacing w:line="360" w:lineRule="auto"/>
        <w:ind w:firstLine="480" w:firstLineChars="200"/>
        <w:rPr>
          <w:rFonts w:ascii="宋体"/>
          <w:sz w:val="24"/>
          <w:szCs w:val="24"/>
        </w:rPr>
      </w:pPr>
      <w:r>
        <w:rPr>
          <w:rFonts w:hint="eastAsia" w:ascii="宋体" w:hAnsi="宋体" w:cs="宋体"/>
          <w:sz w:val="24"/>
          <w:szCs w:val="24"/>
        </w:rPr>
        <w:t>传真：</w:t>
      </w:r>
      <w:r>
        <w:rPr>
          <w:rFonts w:ascii="宋体" w:hAnsi="宋体" w:cs="宋体"/>
          <w:sz w:val="24"/>
          <w:szCs w:val="24"/>
        </w:rPr>
        <w:t>0575-82130212</w:t>
      </w:r>
    </w:p>
    <w:p>
      <w:pPr>
        <w:adjustRightInd w:val="0"/>
        <w:spacing w:line="360" w:lineRule="auto"/>
        <w:ind w:firstLine="480" w:firstLineChars="200"/>
        <w:rPr>
          <w:rFonts w:ascii="宋体"/>
          <w:sz w:val="24"/>
          <w:szCs w:val="24"/>
        </w:rPr>
      </w:pPr>
      <w:r>
        <w:rPr>
          <w:rFonts w:hint="eastAsia" w:ascii="宋体" w:hAnsi="宋体" w:cs="宋体"/>
          <w:sz w:val="24"/>
          <w:szCs w:val="24"/>
        </w:rPr>
        <w:t>地址：绍兴市上虞区体育场路</w:t>
      </w:r>
      <w:r>
        <w:rPr>
          <w:rFonts w:ascii="宋体" w:hAnsi="宋体" w:cs="宋体"/>
          <w:sz w:val="24"/>
          <w:szCs w:val="24"/>
        </w:rPr>
        <w:t>18</w:t>
      </w:r>
      <w:r>
        <w:rPr>
          <w:rFonts w:hint="eastAsia" w:ascii="宋体" w:hAnsi="宋体" w:cs="宋体"/>
          <w:sz w:val="24"/>
          <w:szCs w:val="24"/>
        </w:rPr>
        <w:t>号</w:t>
      </w:r>
    </w:p>
    <w:p>
      <w:pPr>
        <w:spacing w:line="360" w:lineRule="auto"/>
        <w:jc w:val="center"/>
        <w:outlineLvl w:val="0"/>
        <w:rPr>
          <w:rFonts w:ascii="宋体"/>
          <w:b/>
          <w:bCs/>
          <w:sz w:val="36"/>
          <w:szCs w:val="36"/>
        </w:rPr>
      </w:pPr>
      <w:r>
        <w:rPr>
          <w:rFonts w:ascii="宋体"/>
          <w:b/>
          <w:bCs/>
          <w:sz w:val="36"/>
          <w:szCs w:val="36"/>
        </w:rPr>
        <w:br w:type="page"/>
      </w:r>
      <w:bookmarkStart w:id="7" w:name="_Toc29834"/>
      <w:bookmarkStart w:id="8" w:name="_Toc546"/>
      <w:bookmarkStart w:id="9" w:name="_Toc29876"/>
      <w:r>
        <w:rPr>
          <w:rStyle w:val="42"/>
          <w:rFonts w:hint="eastAsia" w:cs="宋体"/>
          <w:sz w:val="36"/>
          <w:szCs w:val="36"/>
        </w:rPr>
        <w:t>第二部分</w:t>
      </w:r>
      <w:bookmarkEnd w:id="3"/>
      <w:r>
        <w:rPr>
          <w:rStyle w:val="42"/>
          <w:sz w:val="36"/>
          <w:szCs w:val="36"/>
        </w:rPr>
        <w:t xml:space="preserve"> </w:t>
      </w:r>
      <w:bookmarkEnd w:id="4"/>
      <w:r>
        <w:rPr>
          <w:rStyle w:val="42"/>
          <w:rFonts w:hint="eastAsia" w:cs="宋体"/>
          <w:sz w:val="36"/>
          <w:szCs w:val="36"/>
        </w:rPr>
        <w:t>供应商须知</w:t>
      </w:r>
      <w:bookmarkEnd w:id="7"/>
      <w:bookmarkEnd w:id="8"/>
      <w:bookmarkEnd w:id="9"/>
    </w:p>
    <w:p>
      <w:pPr>
        <w:widowControl/>
        <w:adjustRightInd w:val="0"/>
        <w:snapToGrid w:val="0"/>
        <w:spacing w:line="360" w:lineRule="auto"/>
        <w:jc w:val="center"/>
        <w:rPr>
          <w:rFonts w:ascii="宋体"/>
          <w:b/>
          <w:bCs/>
          <w:snapToGrid w:val="0"/>
          <w:kern w:val="0"/>
          <w:sz w:val="32"/>
          <w:szCs w:val="32"/>
        </w:rPr>
      </w:pPr>
      <w:r>
        <w:rPr>
          <w:rFonts w:hint="eastAsia" w:ascii="宋体" w:hAnsi="宋体" w:cs="宋体"/>
          <w:b/>
          <w:bCs/>
          <w:snapToGrid w:val="0"/>
          <w:kern w:val="0"/>
          <w:sz w:val="30"/>
          <w:szCs w:val="30"/>
        </w:rPr>
        <w:t>供应商须知前附表</w:t>
      </w:r>
    </w:p>
    <w:tbl>
      <w:tblPr>
        <w:tblStyle w:val="26"/>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7" w:hRule="atLeast"/>
          <w:tblHeader/>
          <w:jc w:val="center"/>
        </w:trPr>
        <w:tc>
          <w:tcPr>
            <w:tcW w:w="648" w:type="dxa"/>
            <w:tcBorders>
              <w:top w:val="double" w:color="auto" w:sz="4" w:space="0"/>
            </w:tcBorders>
            <w:vAlign w:val="center"/>
          </w:tcPr>
          <w:p>
            <w:pPr>
              <w:snapToGrid w:val="0"/>
              <w:jc w:val="center"/>
              <w:rPr>
                <w:rFonts w:ascii="宋体"/>
                <w:b/>
                <w:bCs/>
                <w:snapToGrid w:val="0"/>
                <w:kern w:val="0"/>
              </w:rPr>
            </w:pPr>
            <w:r>
              <w:rPr>
                <w:rFonts w:hint="eastAsia" w:ascii="宋体" w:hAnsi="宋体" w:cs="宋体"/>
                <w:b/>
                <w:bCs/>
                <w:snapToGrid w:val="0"/>
                <w:kern w:val="0"/>
              </w:rPr>
              <w:t>序号</w:t>
            </w:r>
          </w:p>
        </w:tc>
        <w:tc>
          <w:tcPr>
            <w:tcW w:w="1800" w:type="dxa"/>
            <w:tcBorders>
              <w:top w:val="double" w:color="auto" w:sz="4" w:space="0"/>
            </w:tcBorders>
            <w:vAlign w:val="center"/>
          </w:tcPr>
          <w:p>
            <w:pPr>
              <w:snapToGrid w:val="0"/>
              <w:jc w:val="center"/>
              <w:rPr>
                <w:rFonts w:ascii="宋体"/>
                <w:b/>
                <w:bCs/>
                <w:snapToGrid w:val="0"/>
                <w:kern w:val="0"/>
              </w:rPr>
            </w:pPr>
            <w:r>
              <w:rPr>
                <w:rFonts w:hint="eastAsia" w:ascii="宋体" w:hAnsi="宋体" w:cs="宋体"/>
                <w:b/>
                <w:bCs/>
                <w:snapToGrid w:val="0"/>
                <w:kern w:val="0"/>
              </w:rPr>
              <w:t>项目</w:t>
            </w:r>
          </w:p>
        </w:tc>
        <w:tc>
          <w:tcPr>
            <w:tcW w:w="6682" w:type="dxa"/>
            <w:tcBorders>
              <w:top w:val="double" w:color="auto" w:sz="4" w:space="0"/>
            </w:tcBorders>
            <w:vAlign w:val="center"/>
          </w:tcPr>
          <w:p>
            <w:pPr>
              <w:snapToGrid w:val="0"/>
              <w:jc w:val="center"/>
              <w:rPr>
                <w:rFonts w:ascii="宋体"/>
                <w:b/>
                <w:bCs/>
                <w:snapToGrid w:val="0"/>
                <w:kern w:val="0"/>
              </w:rPr>
            </w:pPr>
            <w:r>
              <w:rPr>
                <w:rFonts w:hint="eastAsia" w:ascii="宋体" w:hAnsi="宋体" w:cs="宋体"/>
                <w:b/>
                <w:bCs/>
                <w:snapToGrid w:val="0"/>
                <w:kern w:val="0"/>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w:t>
            </w:r>
          </w:p>
        </w:tc>
        <w:tc>
          <w:tcPr>
            <w:tcW w:w="1800" w:type="dxa"/>
            <w:vAlign w:val="center"/>
          </w:tcPr>
          <w:p>
            <w:pPr>
              <w:snapToGrid w:val="0"/>
              <w:jc w:val="center"/>
              <w:rPr>
                <w:rFonts w:ascii="宋体"/>
                <w:snapToGrid w:val="0"/>
                <w:kern w:val="0"/>
              </w:rPr>
            </w:pPr>
            <w:r>
              <w:rPr>
                <w:rFonts w:hint="eastAsia" w:ascii="宋体" w:hAnsi="宋体" w:cs="宋体"/>
                <w:snapToGrid w:val="0"/>
                <w:kern w:val="0"/>
              </w:rPr>
              <w:t>项目名称</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曹娥江上虞河段精细化水文预报项目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2</w:t>
            </w:r>
          </w:p>
        </w:tc>
        <w:tc>
          <w:tcPr>
            <w:tcW w:w="1800" w:type="dxa"/>
            <w:vAlign w:val="center"/>
          </w:tcPr>
          <w:p>
            <w:pPr>
              <w:snapToGrid w:val="0"/>
              <w:jc w:val="center"/>
              <w:rPr>
                <w:rFonts w:ascii="宋体"/>
                <w:snapToGrid w:val="0"/>
                <w:kern w:val="0"/>
              </w:rPr>
            </w:pPr>
            <w:r>
              <w:rPr>
                <w:rFonts w:hint="eastAsia" w:ascii="宋体" w:hAnsi="宋体" w:cs="宋体"/>
                <w:bCs/>
                <w:snapToGrid w:val="0"/>
                <w:kern w:val="0"/>
              </w:rPr>
              <w:t>项目服务期限</w:t>
            </w:r>
          </w:p>
        </w:tc>
        <w:tc>
          <w:tcPr>
            <w:tcW w:w="6682" w:type="dxa"/>
            <w:vAlign w:val="center"/>
          </w:tcPr>
          <w:p>
            <w:pPr>
              <w:ind w:firstLine="422" w:firstLineChars="200"/>
              <w:rPr>
                <w:rFonts w:ascii="宋体"/>
              </w:rPr>
            </w:pPr>
            <w:r>
              <w:rPr>
                <w:rFonts w:hint="eastAsia" w:ascii="宋体" w:hAnsi="宋体" w:cs="宋体"/>
                <w:b/>
                <w:bCs/>
                <w:snapToGrid w:val="0"/>
                <w:kern w:val="0"/>
              </w:rPr>
              <w:t>项目建设期为自合同签署生效之日起210日历天内（具体以合同签订时间为准），同时要求在验收完成后提供2年的后续预报服务支撑。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3</w:t>
            </w:r>
          </w:p>
        </w:tc>
        <w:tc>
          <w:tcPr>
            <w:tcW w:w="1800" w:type="dxa"/>
            <w:vAlign w:val="center"/>
          </w:tcPr>
          <w:p>
            <w:pPr>
              <w:snapToGrid w:val="0"/>
              <w:jc w:val="center"/>
              <w:rPr>
                <w:rFonts w:ascii="宋体"/>
                <w:b/>
                <w:bCs/>
                <w:snapToGrid w:val="0"/>
                <w:kern w:val="0"/>
              </w:rPr>
            </w:pPr>
            <w:r>
              <w:rPr>
                <w:rFonts w:hint="eastAsia" w:ascii="宋体" w:hAnsi="宋体" w:cs="宋体"/>
                <w:b/>
                <w:bCs/>
                <w:snapToGrid w:val="0"/>
                <w:kern w:val="0"/>
              </w:rPr>
              <w:t>最高限价</w:t>
            </w:r>
          </w:p>
        </w:tc>
        <w:tc>
          <w:tcPr>
            <w:tcW w:w="6682" w:type="dxa"/>
            <w:vAlign w:val="center"/>
          </w:tcPr>
          <w:p>
            <w:pPr>
              <w:snapToGrid w:val="0"/>
              <w:ind w:firstLine="420" w:firstLineChars="200"/>
              <w:rPr>
                <w:rFonts w:ascii="宋体"/>
                <w:b/>
                <w:bCs/>
                <w:snapToGrid w:val="0"/>
                <w:kern w:val="0"/>
              </w:rPr>
            </w:pPr>
            <w:r>
              <w:rPr>
                <w:rFonts w:hint="eastAsia" w:ascii="宋体" w:hAnsi="宋体" w:cs="宋体"/>
              </w:rPr>
              <w:t>本项目最高限价人民币</w:t>
            </w:r>
            <w:r>
              <w:rPr>
                <w:rFonts w:hint="eastAsia" w:ascii="宋体" w:hAnsi="宋体" w:cs="宋体"/>
                <w:u w:val="single"/>
              </w:rPr>
              <w:t xml:space="preserve"> 166 </w:t>
            </w:r>
            <w:r>
              <w:rPr>
                <w:rFonts w:hint="eastAsia" w:ascii="宋体" w:hAnsi="宋体" w:cs="宋体"/>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 xml:space="preserve">                                                                                                   4</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资格审查方式</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5</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踏勘现场</w:t>
            </w:r>
          </w:p>
        </w:tc>
        <w:tc>
          <w:tcPr>
            <w:tcW w:w="6682" w:type="dxa"/>
            <w:vAlign w:val="center"/>
          </w:tcPr>
          <w:p>
            <w:pPr>
              <w:snapToGrid w:val="0"/>
              <w:ind w:firstLine="422" w:firstLineChars="200"/>
              <w:rPr>
                <w:rFonts w:ascii="宋体"/>
                <w:snapToGrid w:val="0"/>
                <w:kern w:val="0"/>
              </w:rPr>
            </w:pPr>
            <w:r>
              <w:rPr>
                <w:rFonts w:hint="eastAsia" w:ascii="宋体" w:hAnsi="宋体" w:cs="宋体"/>
                <w:b/>
                <w:bCs/>
                <w:snapToGrid w:val="0"/>
                <w:kern w:val="0"/>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6</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询问</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供应商对政府采购活动事项有疑问的，可以向采购机构提出询问，采购人或者招标代理机构应当在</w:t>
            </w:r>
            <w:r>
              <w:rPr>
                <w:rFonts w:ascii="宋体" w:hAnsi="宋体" w:cs="宋体"/>
                <w:snapToGrid w:val="0"/>
                <w:kern w:val="0"/>
              </w:rPr>
              <w:t>3</w:t>
            </w:r>
            <w:r>
              <w:rPr>
                <w:rFonts w:hint="eastAsia" w:ascii="宋体" w:hAnsi="宋体" w:cs="宋体"/>
                <w:snapToGrid w:val="0"/>
                <w:kern w:val="0"/>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7</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磋商文件的澄清与修改</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采购单位可以对已发出的磋商文件进行必要澄清或者修改，澄清或者修改的内容可能影响响应文件编制的，应当在提交首次响应文件截止时间至少</w:t>
            </w:r>
            <w:r>
              <w:rPr>
                <w:rFonts w:ascii="宋体" w:hAnsi="宋体" w:cs="宋体"/>
                <w:snapToGrid w:val="0"/>
                <w:kern w:val="0"/>
              </w:rPr>
              <w:t>5</w:t>
            </w:r>
            <w:r>
              <w:rPr>
                <w:rFonts w:hint="eastAsia" w:ascii="宋体" w:hAnsi="宋体" w:cs="宋体"/>
                <w:snapToGrid w:val="0"/>
                <w:kern w:val="0"/>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8</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磋商响应文件组成</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9</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评标办法</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10</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磋商响应文件递交地址及截止时间</w:t>
            </w:r>
          </w:p>
        </w:tc>
        <w:tc>
          <w:tcPr>
            <w:tcW w:w="6682" w:type="dxa"/>
            <w:vAlign w:val="center"/>
          </w:tcPr>
          <w:p>
            <w:pPr>
              <w:snapToGrid w:val="0"/>
              <w:ind w:firstLine="420" w:firstLineChars="200"/>
              <w:rPr>
                <w:rFonts w:ascii="宋体"/>
                <w:kern w:val="0"/>
              </w:rPr>
            </w:pPr>
            <w:r>
              <w:rPr>
                <w:rFonts w:hint="eastAsia" w:ascii="宋体" w:hAnsi="宋体" w:cs="宋体"/>
                <w:snapToGrid w:val="0"/>
                <w:kern w:val="0"/>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11</w:t>
            </w:r>
          </w:p>
        </w:tc>
        <w:tc>
          <w:tcPr>
            <w:tcW w:w="1800" w:type="dxa"/>
            <w:vAlign w:val="center"/>
          </w:tcPr>
          <w:p>
            <w:pPr>
              <w:snapToGrid w:val="0"/>
              <w:jc w:val="center"/>
              <w:rPr>
                <w:rFonts w:ascii="宋体"/>
                <w:snapToGrid w:val="0"/>
                <w:kern w:val="0"/>
              </w:rPr>
            </w:pPr>
            <w:r>
              <w:rPr>
                <w:rFonts w:hint="eastAsia" w:ascii="宋体" w:hAnsi="宋体" w:cs="宋体"/>
                <w:snapToGrid w:val="0"/>
                <w:kern w:val="0"/>
              </w:rPr>
              <w:t>开标时间、地点</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开标时间：</w:t>
            </w:r>
            <w:r>
              <w:rPr>
                <w:rFonts w:hint="eastAsia" w:ascii="宋体" w:hAnsi="宋体" w:cs="宋体"/>
                <w:kern w:val="0"/>
              </w:rPr>
              <w:t>详见磋商公告</w:t>
            </w:r>
          </w:p>
          <w:p>
            <w:pPr>
              <w:snapToGrid w:val="0"/>
              <w:ind w:firstLine="420" w:firstLineChars="200"/>
              <w:rPr>
                <w:rFonts w:ascii="宋体"/>
                <w:kern w:val="0"/>
              </w:rPr>
            </w:pPr>
            <w:r>
              <w:rPr>
                <w:rFonts w:hint="eastAsia" w:ascii="宋体" w:hAnsi="宋体" w:cs="宋体"/>
                <w:snapToGrid w:val="0"/>
                <w:kern w:val="0"/>
              </w:rPr>
              <w:t>开标地点：</w:t>
            </w:r>
            <w:r>
              <w:rPr>
                <w:rFonts w:hint="eastAsia" w:ascii="宋体" w:hAnsi="宋体" w:cs="宋体"/>
                <w:kern w:val="0"/>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12</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磋商响应文件有效期</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响应文件有效期为从提交响应文件的截止之日起</w:t>
            </w:r>
            <w:r>
              <w:rPr>
                <w:rFonts w:ascii="宋体" w:hAnsi="宋体" w:cs="宋体"/>
                <w:snapToGrid w:val="0"/>
                <w:kern w:val="0"/>
              </w:rPr>
              <w:t>90</w:t>
            </w:r>
            <w:r>
              <w:rPr>
                <w:rFonts w:hint="eastAsia" w:ascii="宋体" w:hAnsi="宋体" w:cs="宋体"/>
                <w:snapToGrid w:val="0"/>
                <w:kern w:val="0"/>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13</w:t>
            </w:r>
          </w:p>
        </w:tc>
        <w:tc>
          <w:tcPr>
            <w:tcW w:w="1800" w:type="dxa"/>
            <w:vAlign w:val="center"/>
          </w:tcPr>
          <w:p>
            <w:pPr>
              <w:snapToGrid w:val="0"/>
              <w:spacing w:line="360" w:lineRule="exact"/>
              <w:jc w:val="center"/>
              <w:rPr>
                <w:rFonts w:ascii="宋体"/>
                <w:snapToGrid w:val="0"/>
                <w:kern w:val="0"/>
              </w:rPr>
            </w:pPr>
            <w:r>
              <w:rPr>
                <w:rFonts w:hint="eastAsia" w:ascii="宋体" w:hAnsi="宋体" w:cs="宋体"/>
                <w:snapToGrid w:val="0"/>
                <w:kern w:val="0"/>
              </w:rPr>
              <w:t>履约保证金</w:t>
            </w:r>
          </w:p>
        </w:tc>
        <w:tc>
          <w:tcPr>
            <w:tcW w:w="6682" w:type="dxa"/>
            <w:vAlign w:val="center"/>
          </w:tcPr>
          <w:p>
            <w:pPr>
              <w:pStyle w:val="12"/>
              <w:snapToGrid w:val="0"/>
              <w:ind w:firstLine="420" w:firstLineChars="200"/>
              <w:rPr>
                <w:rFonts w:hAnsi="宋体"/>
              </w:rPr>
            </w:pPr>
            <w:r>
              <w:rPr>
                <w:rFonts w:hint="eastAsia" w:hAnsi="宋体"/>
              </w:rPr>
              <w:t>中标人在收到中标通知书后，需向采购人提供合同总价</w:t>
            </w:r>
            <w:r>
              <w:rPr>
                <w:rFonts w:hint="eastAsia" w:hAnsi="宋体"/>
                <w:u w:val="single"/>
              </w:rPr>
              <w:t>1%</w:t>
            </w:r>
            <w:r>
              <w:rPr>
                <w:rFonts w:hint="eastAsia" w:hAnsi="宋体"/>
              </w:rPr>
              <w:t>的履约保证金，在中标人与采购人签订合同前递交。（投标人应当以支票、汇票、本票或者金融机构、保险公司、担保机构出具的保函等非现金形式提交）</w:t>
            </w:r>
          </w:p>
          <w:p>
            <w:pPr>
              <w:pStyle w:val="12"/>
              <w:snapToGrid w:val="0"/>
              <w:ind w:firstLine="420" w:firstLineChars="200"/>
              <w:rPr>
                <w:rFonts w:hAnsi="宋体" w:cs="Times New Roman"/>
                <w:kern w:val="0"/>
              </w:rPr>
            </w:pPr>
            <w:r>
              <w:rPr>
                <w:rFonts w:hint="eastAsia" w:hAnsi="宋体"/>
                <w:kern w:val="0"/>
              </w:rPr>
              <w:t>在项目验收完成并提交所有技术成果后退还（不计息）。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14</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磋商公告及成交结果公告发布媒体</w:t>
            </w:r>
          </w:p>
        </w:tc>
        <w:tc>
          <w:tcPr>
            <w:tcW w:w="6682" w:type="dxa"/>
            <w:vAlign w:val="center"/>
          </w:tcPr>
          <w:p>
            <w:pPr>
              <w:pStyle w:val="12"/>
              <w:snapToGrid w:val="0"/>
              <w:ind w:firstLine="420" w:firstLineChars="200"/>
              <w:jc w:val="left"/>
              <w:rPr>
                <w:rFonts w:hAnsi="宋体" w:cs="Times New Roman"/>
                <w:kern w:val="0"/>
              </w:rPr>
            </w:pPr>
            <w:r>
              <w:rPr>
                <w:rFonts w:hint="eastAsia" w:hAnsi="宋体"/>
                <w:kern w:val="0"/>
              </w:rPr>
              <w:t>浙江省政府采购网、</w:t>
            </w:r>
            <w:r>
              <w:rPr>
                <w:rFonts w:hAnsi="宋体"/>
                <w:kern w:val="0"/>
              </w:rPr>
              <w:t xml:space="preserve"> </w:t>
            </w:r>
            <w:r>
              <w:rPr>
                <w:rFonts w:hint="eastAsia" w:hAnsi="宋体"/>
                <w:kern w:val="0"/>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rPr>
            </w:pPr>
            <w:r>
              <w:rPr>
                <w:rFonts w:ascii="宋体" w:hAnsi="宋体" w:cs="宋体"/>
              </w:rPr>
              <w:t>15</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质疑</w:t>
            </w:r>
          </w:p>
        </w:tc>
        <w:tc>
          <w:tcPr>
            <w:tcW w:w="6682" w:type="dxa"/>
            <w:vAlign w:val="center"/>
          </w:tcPr>
          <w:p>
            <w:pPr>
              <w:ind w:firstLine="420" w:firstLineChars="200"/>
              <w:jc w:val="left"/>
              <w:rPr>
                <w:rFonts w:ascii="宋体"/>
              </w:rPr>
            </w:pPr>
            <w:r>
              <w:rPr>
                <w:rFonts w:hint="eastAsia" w:ascii="宋体" w:hAnsi="宋体" w:cs="宋体"/>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hAnsi="宋体" w:cs="宋体"/>
              </w:rPr>
            </w:pPr>
            <w:r>
              <w:rPr>
                <w:rFonts w:hint="eastAsia"/>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w:t>
            </w:r>
            <w:r>
              <w:rPr>
                <w:rFonts w:hint="eastAsia" w:ascii="宋体" w:hAnsi="宋体" w:cs="宋体"/>
              </w:rPr>
              <w:t>供应商在法定质疑期内应一次性提出针对同一采购程序环节的质疑。否则质疑将不予受理。</w:t>
            </w:r>
          </w:p>
          <w:p>
            <w:pPr>
              <w:ind w:firstLine="420" w:firstLineChars="200"/>
              <w:jc w:val="left"/>
              <w:rPr>
                <w:rFonts w:ascii="宋体"/>
              </w:rPr>
            </w:pPr>
            <w:r>
              <w:rPr>
                <w:rFonts w:hint="eastAsia" w:ascii="宋体" w:hAnsi="宋体" w:cs="宋体"/>
              </w:rPr>
              <w:t>供应商如认为采购过程使自身的合法权益受到损害的，应于各采购程序环节结束之日起七个工作日内以书面形式向采购机构提出质疑；</w:t>
            </w:r>
          </w:p>
          <w:p>
            <w:pPr>
              <w:ind w:firstLine="420" w:firstLineChars="200"/>
              <w:jc w:val="left"/>
              <w:rPr>
                <w:rFonts w:ascii="宋体"/>
              </w:rPr>
            </w:pPr>
            <w:r>
              <w:rPr>
                <w:rFonts w:hint="eastAsia" w:ascii="宋体" w:hAnsi="宋体" w:cs="宋体"/>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kern w:val="0"/>
              </w:rPr>
              <w:t>。</w:t>
            </w:r>
            <w:r>
              <w:rPr>
                <w:rFonts w:hint="eastAsia"/>
              </w:rPr>
              <w:t>质疑函范本请到浙江政府采购网下载专区下载</w:t>
            </w:r>
            <w:r>
              <w:rPr>
                <w:rFonts w:hint="eastAsia" w:ascii="宋体" w:hAnsi="宋体" w:cs="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16</w:t>
            </w:r>
          </w:p>
        </w:tc>
        <w:tc>
          <w:tcPr>
            <w:tcW w:w="1800" w:type="dxa"/>
            <w:vAlign w:val="center"/>
          </w:tcPr>
          <w:p>
            <w:pPr>
              <w:snapToGrid w:val="0"/>
              <w:jc w:val="center"/>
              <w:rPr>
                <w:rFonts w:ascii="宋体"/>
                <w:snapToGrid w:val="0"/>
                <w:kern w:val="0"/>
              </w:rPr>
            </w:pPr>
            <w:r>
              <w:rPr>
                <w:rFonts w:hint="eastAsia" w:ascii="宋体" w:hAnsi="宋体" w:cs="宋体"/>
                <w:snapToGrid w:val="0"/>
                <w:kern w:val="0"/>
              </w:rPr>
              <w:t>投诉</w:t>
            </w:r>
          </w:p>
        </w:tc>
        <w:tc>
          <w:tcPr>
            <w:tcW w:w="6682" w:type="dxa"/>
            <w:vAlign w:val="center"/>
          </w:tcPr>
          <w:p>
            <w:pPr>
              <w:snapToGrid w:val="0"/>
              <w:ind w:firstLine="420" w:firstLineChars="200"/>
              <w:jc w:val="left"/>
              <w:rPr>
                <w:rFonts w:ascii="宋体"/>
                <w:snapToGrid w:val="0"/>
                <w:kern w:val="0"/>
              </w:rPr>
            </w:pPr>
            <w:r>
              <w:rPr>
                <w:rFonts w:hint="eastAsia" w:ascii="宋体" w:hAnsi="宋体" w:cs="宋体"/>
                <w:snapToGrid w:val="0"/>
                <w:kern w:val="0"/>
              </w:rPr>
              <w:t>根据</w:t>
            </w:r>
            <w:r>
              <w:rPr>
                <w:rFonts w:hint="eastAsia" w:ascii="宋体" w:hAnsi="宋体" w:cs="宋体"/>
                <w:snapToGrid w:val="0"/>
                <w:kern w:val="0"/>
                <w:lang w:eastAsia="zh-CN"/>
              </w:rPr>
              <w:t>《中华人民共和国政府采购法》</w:t>
            </w:r>
            <w:r>
              <w:rPr>
                <w:rFonts w:hint="eastAsia" w:ascii="宋体" w:hAnsi="宋体" w:cs="宋体"/>
                <w:snapToGrid w:val="0"/>
                <w:kern w:val="0"/>
              </w:rPr>
              <w:t>第五十五条的规定，质疑供应商对采购人、招标代理机构的答复不满意或者采购人、招标代理机构未在规定的时间内作出答复的，可以在答复期满后十五个工作日内向同级政府采购监督管理部门投诉。</w:t>
            </w:r>
            <w:r>
              <w:rPr>
                <w:rFonts w:hint="eastAsia"/>
              </w:rPr>
              <w:t>投诉书范本请到浙江政府采购网下载专区下载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17</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特别说明</w:t>
            </w:r>
          </w:p>
        </w:tc>
        <w:tc>
          <w:tcPr>
            <w:tcW w:w="6682" w:type="dxa"/>
            <w:vAlign w:val="center"/>
          </w:tcPr>
          <w:p>
            <w:pPr>
              <w:pStyle w:val="12"/>
              <w:snapToGrid w:val="0"/>
              <w:ind w:firstLine="420" w:firstLineChars="200"/>
              <w:jc w:val="left"/>
              <w:rPr>
                <w:rFonts w:hAnsi="宋体" w:cs="Times New Roman"/>
                <w:kern w:val="0"/>
              </w:rPr>
            </w:pPr>
            <w:r>
              <w:rPr>
                <w:rFonts w:hint="eastAsia" w:hAnsi="宋体"/>
                <w:kern w:val="0"/>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2"/>
              <w:snapToGrid w:val="0"/>
              <w:ind w:firstLine="420" w:firstLineChars="200"/>
              <w:jc w:val="left"/>
              <w:rPr>
                <w:rFonts w:hAnsi="宋体" w:cs="Times New Roman"/>
                <w:kern w:val="0"/>
              </w:rPr>
            </w:pPr>
            <w:r>
              <w:rPr>
                <w:rFonts w:hint="eastAsia" w:hAnsi="宋体"/>
                <w:kern w:val="0"/>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2"/>
              <w:snapToGrid w:val="0"/>
              <w:ind w:firstLine="420" w:firstLineChars="200"/>
              <w:jc w:val="left"/>
              <w:rPr>
                <w:rFonts w:hAnsi="宋体" w:cs="Times New Roman"/>
                <w:kern w:val="0"/>
              </w:rPr>
            </w:pPr>
            <w:r>
              <w:rPr>
                <w:rFonts w:hint="eastAsia" w:hAnsi="宋体"/>
                <w:kern w:val="0"/>
              </w:rPr>
              <w:t>质疑、投诉人未按前列进行质疑、投诉（申诉），均属于扰乱政府采购市场不良行为。</w:t>
            </w:r>
          </w:p>
          <w:p>
            <w:pPr>
              <w:pStyle w:val="12"/>
              <w:snapToGrid w:val="0"/>
              <w:ind w:firstLine="420" w:firstLineChars="200"/>
              <w:jc w:val="left"/>
              <w:rPr>
                <w:rFonts w:hAnsi="宋体" w:cs="Times New Roman"/>
                <w:b/>
                <w:bCs/>
                <w:kern w:val="0"/>
              </w:rPr>
            </w:pPr>
            <w:r>
              <w:rPr>
                <w:rFonts w:hint="eastAsia" w:hAnsi="宋体"/>
                <w:kern w:val="0"/>
              </w:rPr>
              <w:t>磋商文件中凡标注“</w:t>
            </w:r>
            <w:r>
              <w:rPr>
                <w:rFonts w:hint="eastAsia" w:hAnsi="宋体"/>
              </w:rPr>
              <w:t>★</w:t>
            </w:r>
            <w:r>
              <w:rPr>
                <w:rFonts w:hint="eastAsia" w:hAnsi="宋体"/>
                <w:kern w:val="0"/>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w:t>
            </w:r>
            <w:r>
              <w:rPr>
                <w:rFonts w:hint="eastAsia" w:ascii="宋体" w:hAnsi="宋体" w:cs="宋体"/>
                <w:snapToGrid w:val="0"/>
                <w:kern w:val="0"/>
              </w:rPr>
              <w:t>8</w:t>
            </w:r>
          </w:p>
        </w:tc>
        <w:tc>
          <w:tcPr>
            <w:tcW w:w="1800" w:type="dxa"/>
            <w:vAlign w:val="center"/>
          </w:tcPr>
          <w:p>
            <w:pPr>
              <w:snapToGrid w:val="0"/>
              <w:jc w:val="center"/>
              <w:rPr>
                <w:rFonts w:ascii="宋体"/>
              </w:rPr>
            </w:pPr>
            <w:r>
              <w:rPr>
                <w:rFonts w:hint="eastAsia" w:ascii="宋体" w:hAnsi="宋体" w:cs="宋体"/>
              </w:rPr>
              <w:t>支</w:t>
            </w:r>
          </w:p>
          <w:p>
            <w:pPr>
              <w:snapToGrid w:val="0"/>
              <w:jc w:val="center"/>
              <w:rPr>
                <w:rFonts w:ascii="宋体"/>
              </w:rPr>
            </w:pPr>
            <w:r>
              <w:rPr>
                <w:rFonts w:hint="eastAsia" w:ascii="宋体" w:hAnsi="宋体" w:cs="宋体"/>
              </w:rPr>
              <w:t>持</w:t>
            </w:r>
          </w:p>
          <w:p>
            <w:pPr>
              <w:snapToGrid w:val="0"/>
              <w:jc w:val="center"/>
              <w:rPr>
                <w:rFonts w:ascii="宋体"/>
              </w:rPr>
            </w:pPr>
            <w:r>
              <w:rPr>
                <w:rFonts w:hint="eastAsia" w:ascii="宋体" w:hAnsi="宋体" w:cs="宋体"/>
              </w:rPr>
              <w:t>中</w:t>
            </w:r>
          </w:p>
          <w:p>
            <w:pPr>
              <w:snapToGrid w:val="0"/>
              <w:jc w:val="center"/>
              <w:rPr>
                <w:rFonts w:ascii="宋体"/>
              </w:rPr>
            </w:pPr>
            <w:r>
              <w:rPr>
                <w:rFonts w:hint="eastAsia" w:ascii="宋体" w:hAnsi="宋体" w:cs="宋体"/>
              </w:rPr>
              <w:t>小</w:t>
            </w:r>
          </w:p>
          <w:p>
            <w:pPr>
              <w:snapToGrid w:val="0"/>
              <w:jc w:val="center"/>
              <w:rPr>
                <w:rFonts w:ascii="宋体"/>
              </w:rPr>
            </w:pPr>
            <w:r>
              <w:rPr>
                <w:rFonts w:hint="eastAsia" w:ascii="宋体" w:hAnsi="宋体" w:cs="宋体"/>
              </w:rPr>
              <w:t>企</w:t>
            </w:r>
          </w:p>
          <w:p>
            <w:pPr>
              <w:snapToGrid w:val="0"/>
              <w:jc w:val="center"/>
              <w:rPr>
                <w:rFonts w:ascii="宋体"/>
              </w:rPr>
            </w:pPr>
            <w:r>
              <w:rPr>
                <w:rFonts w:hint="eastAsia" w:ascii="宋体" w:hAnsi="宋体" w:cs="宋体"/>
              </w:rPr>
              <w:t>业</w:t>
            </w:r>
          </w:p>
          <w:p>
            <w:pPr>
              <w:snapToGrid w:val="0"/>
              <w:jc w:val="center"/>
              <w:rPr>
                <w:rFonts w:ascii="宋体"/>
              </w:rPr>
            </w:pPr>
          </w:p>
        </w:tc>
        <w:tc>
          <w:tcPr>
            <w:tcW w:w="6682" w:type="dxa"/>
            <w:vAlign w:val="center"/>
          </w:tcPr>
          <w:p>
            <w:pPr>
              <w:snapToGrid w:val="0"/>
              <w:spacing w:line="360" w:lineRule="exact"/>
              <w:ind w:firstLine="420" w:firstLineChars="200"/>
              <w:jc w:val="left"/>
              <w:rPr>
                <w:rFonts w:ascii="宋体" w:hAnsi="宋体" w:cs="宋体"/>
                <w:snapToGrid w:val="0"/>
                <w:kern w:val="0"/>
              </w:rPr>
            </w:pPr>
            <w:r>
              <w:rPr>
                <w:rFonts w:hint="eastAsia" w:ascii="宋体" w:hAnsi="宋体" w:cs="宋体"/>
                <w:snapToGrid w:val="0"/>
                <w:kern w:val="0"/>
              </w:rPr>
              <w:t>小微企业是指在中华人民共和国境内依法设立，依据国务院批准的中小企业划分标准确定的小型企业和微型企业，但与大企业的负责人为同一人，或者与大企业存在直接控股、管理关系的除外。</w:t>
            </w:r>
          </w:p>
          <w:p>
            <w:pPr>
              <w:snapToGrid w:val="0"/>
              <w:spacing w:line="360" w:lineRule="exact"/>
              <w:ind w:firstLine="420" w:firstLineChars="200"/>
              <w:jc w:val="left"/>
              <w:rPr>
                <w:rFonts w:ascii="宋体" w:hAnsi="宋体" w:cs="宋体"/>
                <w:snapToGrid w:val="0"/>
                <w:kern w:val="0"/>
              </w:rPr>
            </w:pPr>
            <w:r>
              <w:rPr>
                <w:rFonts w:hint="eastAsia" w:ascii="宋体" w:hAnsi="宋体" w:cs="宋体"/>
                <w:snapToGrid w:val="0"/>
                <w:kern w:val="0"/>
              </w:rPr>
              <w:t>小微企业是指在中华人民共和国境内依法设立，依据国务院批准的中小企业划分标准确定的小型企业和微型企业，但与大企业的负责人为同一人，或者与大企业存在直接控股、管理关系的除外。</w:t>
            </w:r>
          </w:p>
          <w:p>
            <w:pPr>
              <w:snapToGrid w:val="0"/>
              <w:spacing w:line="360" w:lineRule="exact"/>
              <w:ind w:firstLine="420" w:firstLineChars="200"/>
              <w:jc w:val="left"/>
              <w:rPr>
                <w:rFonts w:ascii="宋体" w:hAnsi="宋体" w:cs="宋体"/>
                <w:snapToGrid w:val="0"/>
                <w:kern w:val="0"/>
              </w:rPr>
            </w:pPr>
            <w:r>
              <w:rPr>
                <w:rFonts w:hint="eastAsia" w:ascii="宋体" w:hAnsi="宋体" w:cs="宋体"/>
                <w:snapToGrid w:val="0"/>
                <w:kern w:val="0"/>
              </w:rPr>
              <w:t>符合中小企业划分标准的个体工商户，在政府采购活动中视同中小企业。</w:t>
            </w:r>
          </w:p>
          <w:p>
            <w:pPr>
              <w:snapToGrid w:val="0"/>
              <w:spacing w:line="360" w:lineRule="exact"/>
              <w:ind w:firstLine="420" w:firstLineChars="200"/>
              <w:jc w:val="left"/>
              <w:rPr>
                <w:rFonts w:ascii="宋体" w:hAnsi="宋体" w:cs="宋体"/>
                <w:snapToGrid w:val="0"/>
                <w:kern w:val="0"/>
              </w:rPr>
            </w:pPr>
            <w:r>
              <w:rPr>
                <w:rFonts w:hint="eastAsia" w:ascii="宋体" w:hAnsi="宋体" w:cs="宋体"/>
                <w:snapToGrid w:val="0"/>
                <w:kern w:val="0"/>
              </w:rPr>
              <w:t>在货物采购项目中，货物由小微企业制造，即货物由小微企业生产且使用该小微企业商号或者注册商标。供应商提供的货物既有中小企业制造货物，也有大型企业制造货物的，不享受中小企业扶持政策。</w:t>
            </w:r>
          </w:p>
          <w:p>
            <w:pPr>
              <w:snapToGrid w:val="0"/>
              <w:spacing w:line="360" w:lineRule="exact"/>
              <w:ind w:firstLine="420" w:firstLineChars="200"/>
              <w:jc w:val="left"/>
              <w:rPr>
                <w:rFonts w:ascii="宋体" w:hAnsi="宋体" w:cs="宋体"/>
                <w:snapToGrid w:val="0"/>
                <w:kern w:val="0"/>
              </w:rPr>
            </w:pPr>
            <w:r>
              <w:rPr>
                <w:rFonts w:hint="eastAsia" w:ascii="宋体" w:hAnsi="宋体" w:cs="宋体"/>
                <w:snapToGrid w:val="0"/>
                <w:kern w:val="0"/>
              </w:rPr>
              <w:t>在服务采购项目中，服务由小微企业承接，即提供服务的人员为小微企业依照《中华人民共和国劳动合同法》订立劳动合同的从业人员。</w:t>
            </w:r>
          </w:p>
          <w:p>
            <w:pPr>
              <w:snapToGrid w:val="0"/>
              <w:spacing w:line="360" w:lineRule="exact"/>
              <w:ind w:firstLine="420" w:firstLineChars="200"/>
              <w:jc w:val="left"/>
              <w:rPr>
                <w:rFonts w:ascii="宋体" w:hAnsi="宋体" w:cs="宋体"/>
                <w:snapToGrid w:val="0"/>
                <w:kern w:val="0"/>
              </w:rPr>
            </w:pPr>
            <w:r>
              <w:rPr>
                <w:rFonts w:hint="eastAsia" w:ascii="宋体" w:hAnsi="宋体" w:cs="宋体"/>
                <w:snapToGrid w:val="0"/>
                <w:kern w:val="0"/>
              </w:rPr>
              <w:t>联合体各方均为小型、微型企业的，联合体视同为小型、微型企业。</w:t>
            </w:r>
          </w:p>
          <w:p>
            <w:pPr>
              <w:snapToGrid w:val="0"/>
              <w:spacing w:line="360" w:lineRule="exact"/>
              <w:ind w:firstLine="420" w:firstLineChars="200"/>
              <w:jc w:val="left"/>
              <w:rPr>
                <w:rFonts w:ascii="宋体" w:hAnsi="宋体" w:cs="宋体"/>
                <w:snapToGrid w:val="0"/>
                <w:kern w:val="0"/>
              </w:rPr>
            </w:pPr>
            <w:r>
              <w:rPr>
                <w:rFonts w:hint="eastAsia" w:ascii="宋体" w:hAnsi="宋体" w:cs="宋体"/>
                <w:snapToGrid w:val="0"/>
                <w:kern w:val="0"/>
              </w:rPr>
              <w:t>符合上述条件的中小微型企业应按照招标文件附件的格式要求提供《中小企业声明函》。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exact"/>
              <w:ind w:firstLine="420" w:firstLineChars="200"/>
              <w:jc w:val="left"/>
              <w:rPr>
                <w:rFonts w:ascii="宋体" w:hAnsi="宋体" w:cs="宋体"/>
                <w:snapToGrid w:val="0"/>
                <w:kern w:val="0"/>
              </w:rPr>
            </w:pPr>
            <w:r>
              <w:rPr>
                <w:rFonts w:hint="eastAsia" w:ascii="宋体" w:hAnsi="宋体" w:cs="宋体"/>
                <w:snapToGrid w:val="0"/>
                <w:kern w:val="0"/>
              </w:rPr>
              <w:t>根据财政部的《关于进一步加大政府采购支持中小企业力度的通知》（财库〔2022〕19号）规定，货物和服务项目中未预留份额专门面向中小企业采购的，以及预留份额项目中的非预留部分采购包，采购单位、采购代理机构应结合项目实际，对符合规定的小微企业报价按10%-20%给予扣除，用扣除后的价格参加评审；对于联合协议或者分包意向协议约定小微企业的合同份额占到合同总金额30%以上的，采购单位、采购代理机构应结合项目实际，对联合体或者大中型企业的报价按4%—6%给予扣除，用扣除后的价格参加评审。</w:t>
            </w:r>
          </w:p>
          <w:p>
            <w:pPr>
              <w:ind w:firstLine="420" w:firstLineChars="200"/>
              <w:rPr>
                <w:rFonts w:ascii="宋体"/>
              </w:rPr>
            </w:pPr>
            <w:r>
              <w:rPr>
                <w:rFonts w:hint="eastAsia" w:hAnsi="宋体" w:cs="宋体"/>
                <w:snapToGrid w:val="0"/>
              </w:rPr>
              <w:t>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kern w:val="0"/>
              </w:rPr>
            </w:pPr>
          </w:p>
        </w:tc>
        <w:tc>
          <w:tcPr>
            <w:tcW w:w="1800" w:type="dxa"/>
            <w:vAlign w:val="center"/>
          </w:tcPr>
          <w:p>
            <w:pPr>
              <w:snapToGrid w:val="0"/>
              <w:jc w:val="center"/>
              <w:rPr>
                <w:rFonts w:ascii="宋体" w:hAnsi="宋体" w:cs="宋体"/>
              </w:rPr>
            </w:pPr>
            <w:r>
              <w:rPr>
                <w:rFonts w:hint="eastAsia" w:ascii="宋体" w:hAnsi="宋体" w:cs="宋体"/>
              </w:rPr>
              <w:t>招标代理服务费</w:t>
            </w:r>
          </w:p>
        </w:tc>
        <w:tc>
          <w:tcPr>
            <w:tcW w:w="6682" w:type="dxa"/>
            <w:vAlign w:val="center"/>
          </w:tcPr>
          <w:p>
            <w:pPr>
              <w:autoSpaceDN w:val="0"/>
              <w:spacing w:line="340" w:lineRule="exact"/>
              <w:ind w:firstLine="420" w:firstLineChars="200"/>
              <w:rPr>
                <w:rFonts w:ascii="宋体" w:hAnsi="宋体" w:cs="宋体"/>
                <w:snapToGrid w:val="0"/>
                <w:kern w:val="0"/>
              </w:rPr>
            </w:pPr>
            <w:r>
              <w:rPr>
                <w:rFonts w:hint="eastAsia" w:ascii="宋体" w:hAnsi="宋体" w:cs="宋体"/>
                <w:snapToGrid w:val="0"/>
                <w:kern w:val="0"/>
              </w:rPr>
              <w:t>招标代理服务费由采购人支付，按下列服务招标差额定率累进法计算方式计取*58%。</w:t>
            </w:r>
          </w:p>
          <w:tbl>
            <w:tblPr>
              <w:tblStyle w:val="26"/>
              <w:tblW w:w="611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8"/>
              <w:gridCol w:w="1010"/>
              <w:gridCol w:w="1010"/>
              <w:gridCol w:w="9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服务类型 中标金额（万元）</w:t>
                  </w:r>
                </w:p>
              </w:tc>
              <w:tc>
                <w:tcPr>
                  <w:tcW w:w="1010" w:type="dxa"/>
                  <w:tcBorders>
                    <w:top w:val="outset" w:color="auto" w:sz="6" w:space="0"/>
                    <w:left w:val="outset" w:color="auto" w:sz="6" w:space="0"/>
                    <w:bottom w:val="outset" w:color="auto" w:sz="6" w:space="0"/>
                    <w:right w:val="outset" w:color="auto" w:sz="6" w:space="0"/>
                  </w:tcBorders>
                  <w:vAlign w:val="center"/>
                </w:tcPr>
                <w:p>
                  <w:pPr>
                    <w:pStyle w:val="21"/>
                    <w:jc w:val="center"/>
                    <w:rPr>
                      <w:sz w:val="21"/>
                      <w:szCs w:val="21"/>
                    </w:rPr>
                  </w:pPr>
                  <w:r>
                    <w:rPr>
                      <w:rFonts w:hint="eastAsia"/>
                      <w:sz w:val="21"/>
                      <w:szCs w:val="21"/>
                    </w:rPr>
                    <w:t>货物招标</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服务招标</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100以下</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100—500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0.8％</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500—1000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0.8％</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0.45％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1000—5000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0.25％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5000—10000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0.25％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10000——100000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1000000以上</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0.01％</w:t>
                  </w:r>
                </w:p>
              </w:tc>
            </w:tr>
          </w:tbl>
          <w:p>
            <w:pPr>
              <w:spacing w:line="340" w:lineRule="exact"/>
              <w:ind w:firstLine="420" w:firstLineChars="200"/>
              <w:rPr>
                <w:rFonts w:ascii="宋体" w:hAnsi="宋体" w:cs="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kern w:val="0"/>
              </w:rPr>
            </w:pPr>
            <w:r>
              <w:rPr>
                <w:rFonts w:hint="eastAsia" w:ascii="宋体" w:hAnsi="宋体" w:cs="宋体"/>
                <w:snapToGrid w:val="0"/>
                <w:kern w:val="0"/>
              </w:rPr>
              <w:t>19</w:t>
            </w:r>
          </w:p>
        </w:tc>
        <w:tc>
          <w:tcPr>
            <w:tcW w:w="1800" w:type="dxa"/>
            <w:vAlign w:val="center"/>
          </w:tcPr>
          <w:p>
            <w:pPr>
              <w:snapToGrid w:val="0"/>
              <w:jc w:val="center"/>
              <w:rPr>
                <w:rFonts w:ascii="宋体"/>
              </w:rPr>
            </w:pPr>
            <w:r>
              <w:rPr>
                <w:rFonts w:hint="eastAsia" w:ascii="宋体" w:hAnsi="宋体" w:cs="宋体"/>
              </w:rPr>
              <w:t>是否允许分包</w:t>
            </w:r>
          </w:p>
        </w:tc>
        <w:tc>
          <w:tcPr>
            <w:tcW w:w="6682" w:type="dxa"/>
            <w:vAlign w:val="center"/>
          </w:tcPr>
          <w:p>
            <w:pPr>
              <w:ind w:firstLine="420" w:firstLineChars="200"/>
              <w:rPr>
                <w:rFonts w:ascii="宋体"/>
              </w:rPr>
            </w:pPr>
            <w:r>
              <w:rPr>
                <w:rFonts w:hint="eastAsia" w:ascii="宋体" w:hAnsi="宋体" w:cs="宋体"/>
              </w:rPr>
              <w:t>本项目</w:t>
            </w:r>
            <w:r>
              <w:rPr>
                <w:rFonts w:hint="eastAsia" w:ascii="宋体" w:hAnsi="宋体" w:cs="宋体"/>
                <w:u w:val="single"/>
              </w:rPr>
              <w:t>不允许</w:t>
            </w:r>
            <w:r>
              <w:rPr>
                <w:rFonts w:hint="eastAsia" w:ascii="宋体" w:hAnsi="宋体" w:cs="宋体"/>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spacing w:line="360" w:lineRule="exact"/>
              <w:jc w:val="center"/>
              <w:rPr>
                <w:rFonts w:ascii="宋体"/>
                <w:snapToGrid w:val="0"/>
                <w:kern w:val="0"/>
              </w:rPr>
            </w:pPr>
            <w:r>
              <w:rPr>
                <w:rFonts w:hint="eastAsia" w:ascii="宋体" w:hAnsi="宋体" w:cs="宋体"/>
                <w:snapToGrid w:val="0"/>
                <w:kern w:val="0"/>
              </w:rPr>
              <w:t>20</w:t>
            </w:r>
          </w:p>
        </w:tc>
        <w:tc>
          <w:tcPr>
            <w:tcW w:w="1800" w:type="dxa"/>
            <w:tcBorders>
              <w:top w:val="single" w:color="auto" w:sz="4" w:space="0"/>
            </w:tcBorders>
            <w:vAlign w:val="center"/>
          </w:tcPr>
          <w:p>
            <w:pPr>
              <w:snapToGrid w:val="0"/>
              <w:jc w:val="center"/>
              <w:rPr>
                <w:rFonts w:ascii="宋体"/>
              </w:rPr>
            </w:pPr>
            <w:r>
              <w:rPr>
                <w:rFonts w:hint="eastAsia" w:ascii="宋体" w:hAnsi="宋体" w:cs="宋体"/>
              </w:rPr>
              <w:t>是否提供演示</w:t>
            </w:r>
          </w:p>
        </w:tc>
        <w:tc>
          <w:tcPr>
            <w:tcW w:w="6682" w:type="dxa"/>
            <w:tcBorders>
              <w:top w:val="single" w:color="auto" w:sz="4" w:space="0"/>
            </w:tcBorders>
            <w:vAlign w:val="center"/>
          </w:tcPr>
          <w:p>
            <w:pPr>
              <w:ind w:firstLine="420" w:firstLineChars="200"/>
              <w:rPr>
                <w:rFonts w:ascii="宋体"/>
              </w:rPr>
            </w:pPr>
            <w:r>
              <w:rPr>
                <w:rFonts w:hint="eastAsia" w:ascii="宋体" w:hAnsi="宋体" w:cs="宋体"/>
              </w:rPr>
              <w:t>本项目</w:t>
            </w:r>
            <w:r>
              <w:rPr>
                <w:rFonts w:hint="eastAsia" w:ascii="宋体" w:hAnsi="宋体" w:cs="宋体"/>
                <w:u w:val="single"/>
              </w:rPr>
              <w:t>不需要</w:t>
            </w:r>
            <w:r>
              <w:rPr>
                <w:rFonts w:hint="eastAsia" w:ascii="宋体" w:hAnsi="宋体" w:cs="宋体"/>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restart"/>
            <w:vAlign w:val="center"/>
          </w:tcPr>
          <w:p>
            <w:pPr>
              <w:snapToGrid w:val="0"/>
              <w:spacing w:line="360" w:lineRule="exact"/>
              <w:jc w:val="center"/>
              <w:rPr>
                <w:rFonts w:ascii="宋体"/>
                <w:snapToGrid w:val="0"/>
                <w:kern w:val="0"/>
              </w:rPr>
            </w:pPr>
            <w:r>
              <w:rPr>
                <w:rFonts w:hint="eastAsia" w:ascii="宋体" w:hAnsi="宋体" w:cs="宋体"/>
                <w:snapToGrid w:val="0"/>
                <w:kern w:val="0"/>
              </w:rPr>
              <w:t>21</w:t>
            </w:r>
          </w:p>
          <w:p>
            <w:pPr>
              <w:snapToGrid w:val="0"/>
              <w:spacing w:line="360" w:lineRule="exact"/>
              <w:jc w:val="center"/>
              <w:rPr>
                <w:rFonts w:ascii="宋体" w:hAnsi="宋体" w:cs="宋体"/>
                <w:snapToGrid w:val="0"/>
                <w:kern w:val="0"/>
              </w:rPr>
            </w:pPr>
          </w:p>
        </w:tc>
        <w:tc>
          <w:tcPr>
            <w:tcW w:w="1800" w:type="dxa"/>
            <w:vMerge w:val="restart"/>
            <w:vAlign w:val="center"/>
          </w:tcPr>
          <w:p>
            <w:pPr>
              <w:snapToGrid w:val="0"/>
              <w:jc w:val="center"/>
              <w:rPr>
                <w:rFonts w:ascii="宋体" w:hAnsi="宋体" w:cs="宋体"/>
              </w:rPr>
            </w:pPr>
            <w:r>
              <w:rPr>
                <w:rFonts w:hint="eastAsia" w:ascii="宋体" w:hAnsi="宋体" w:cs="宋体"/>
              </w:rPr>
              <w:t>预付款</w:t>
            </w:r>
          </w:p>
        </w:tc>
        <w:tc>
          <w:tcPr>
            <w:tcW w:w="6682" w:type="dxa"/>
            <w:vAlign w:val="center"/>
          </w:tcPr>
          <w:p>
            <w:pPr>
              <w:ind w:firstLine="420" w:firstLineChars="200"/>
              <w:jc w:val="left"/>
              <w:rPr>
                <w:rFonts w:ascii="宋体" w:hAnsi="宋体" w:cs="宋体"/>
              </w:rPr>
            </w:pPr>
            <w:r>
              <w:rPr>
                <w:rFonts w:hint="eastAsia"/>
              </w:rPr>
              <w:t>本项目</w:t>
            </w:r>
            <w:r>
              <w:rPr>
                <w:rFonts w:hint="eastAsia"/>
              </w:rPr>
              <w:sym w:font="Wingdings 2" w:char="0052"/>
            </w:r>
            <w:r>
              <w:rPr>
                <w:rFonts w:hint="eastAsia"/>
              </w:rPr>
              <w:t xml:space="preserve">是 </w:t>
            </w:r>
            <w:r>
              <w:rPr>
                <w:rFonts w:hint="eastAsia"/>
              </w:rPr>
              <w:sym w:font="Wingdings 2" w:char="00A3"/>
            </w:r>
            <w:r>
              <w:rPr>
                <w:rFonts w:hint="eastAsia"/>
              </w:rPr>
              <w:t>否 涉及预付款，预付款比例为</w:t>
            </w:r>
            <w:r>
              <w:rPr>
                <w:rFonts w:hint="eastAsia"/>
                <w:u w:val="single"/>
              </w:rPr>
              <w:t>合同价的</w:t>
            </w:r>
            <w:r>
              <w:rPr>
                <w:rFonts w:hint="eastAsia" w:asciiTheme="minorEastAsia" w:hAnsiTheme="minorEastAsia" w:eastAsiaTheme="minorEastAsia"/>
                <w:u w:val="single"/>
              </w:rPr>
              <w:t>30</w:t>
            </w:r>
            <w:r>
              <w:rPr>
                <w:rFonts w:hint="eastAsia"/>
                <w:u w:val="single"/>
              </w:rPr>
              <w:t xml:space="preserve"> </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continue"/>
            <w:vAlign w:val="center"/>
          </w:tcPr>
          <w:p>
            <w:pPr>
              <w:snapToGrid w:val="0"/>
              <w:spacing w:line="360" w:lineRule="exact"/>
              <w:jc w:val="center"/>
              <w:rPr>
                <w:rFonts w:ascii="宋体"/>
                <w:snapToGrid w:val="0"/>
                <w:kern w:val="0"/>
              </w:rPr>
            </w:pPr>
          </w:p>
        </w:tc>
        <w:tc>
          <w:tcPr>
            <w:tcW w:w="1800" w:type="dxa"/>
            <w:vMerge w:val="continue"/>
            <w:vAlign w:val="center"/>
          </w:tcPr>
          <w:p>
            <w:pPr>
              <w:snapToGrid w:val="0"/>
              <w:jc w:val="center"/>
              <w:rPr>
                <w:rFonts w:ascii="宋体" w:hAnsi="宋体" w:cs="宋体"/>
              </w:rPr>
            </w:pPr>
          </w:p>
        </w:tc>
        <w:tc>
          <w:tcPr>
            <w:tcW w:w="6682" w:type="dxa"/>
            <w:vAlign w:val="center"/>
          </w:tcPr>
          <w:p>
            <w:pPr>
              <w:ind w:firstLine="420" w:firstLineChars="200"/>
              <w:jc w:val="left"/>
              <w:rPr>
                <w:rFonts w:ascii="宋体" w:hAnsi="宋体" w:cs="宋体"/>
              </w:rPr>
            </w:pPr>
            <w:r>
              <w:rPr>
                <w:rFonts w:hint="eastAsia" w:ascii="宋体" w:hAnsi="宋体" w:cs="宋体"/>
              </w:rPr>
              <w:t>根据《浙江省财政厅关于进一步发挥政府采购政策功能全力推动经济稳进提质的通知》[浙财采监〔2022）3号]文件第二条第五点关于“进一步提高政府采购预付款比例”的规定：</w:t>
            </w:r>
          </w:p>
          <w:p>
            <w:pPr>
              <w:ind w:firstLine="420" w:firstLineChars="200"/>
              <w:jc w:val="left"/>
              <w:rPr>
                <w:rFonts w:ascii="宋体" w:hAnsi="宋体" w:cs="宋体"/>
              </w:rPr>
            </w:pPr>
            <w:r>
              <w:rPr>
                <w:rFonts w:hint="eastAsia" w:ascii="宋体" w:hAnsi="宋体" w:cs="宋体"/>
              </w:rPr>
              <w:t>1.采购单位应当在政府采购合同中约定预付款；</w:t>
            </w:r>
          </w:p>
          <w:p>
            <w:pPr>
              <w:ind w:firstLine="420" w:firstLineChars="200"/>
              <w:jc w:val="left"/>
              <w:rPr>
                <w:rFonts w:ascii="宋体" w:hAnsi="宋体" w:cs="宋体"/>
              </w:rPr>
            </w:pPr>
            <w:r>
              <w:rPr>
                <w:rFonts w:hint="eastAsia" w:ascii="宋体" w:hAnsi="宋体" w:cs="宋体"/>
              </w:rPr>
              <w:t>2.项目涉及中小企业合同预付款的，合同签订后，采购人可以根据项目特点、供应商诚信等因素要求中标人提交银行、保险公司等金融机构出具的预付款保函或其他担保措施，采购人在合同生效以及具备实施条件后7个工作日内向中标人支付40%-70%的合同款作为预付款（项目为分年安排预算的，预付款按年度计划支付资金额的上述比例执行）；项目如以人工投入为主，采购人在合同生效以及具备实施条件后7个工作日内向中标人支付20%-70%的合同款作为预付款。</w:t>
            </w:r>
          </w:p>
          <w:p>
            <w:pPr>
              <w:ind w:firstLine="420" w:firstLineChars="200"/>
              <w:jc w:val="left"/>
              <w:rPr>
                <w:rFonts w:ascii="宋体" w:hAnsi="宋体" w:cs="宋体"/>
              </w:rPr>
            </w:pPr>
            <w:r>
              <w:rPr>
                <w:rFonts w:hint="eastAsia" w:ascii="宋体" w:hAnsi="宋体" w:cs="宋体"/>
              </w:rPr>
              <w:t>3.本项目涉及投标人为大型企业，或者以人工投入为主且实行按月定期结算支付款项的，预付款可低于上述比例或者不约定预付款（相应字样应在合同中体现）。</w:t>
            </w:r>
          </w:p>
          <w:p>
            <w:pPr>
              <w:ind w:firstLine="420" w:firstLineChars="200"/>
              <w:jc w:val="left"/>
              <w:rPr>
                <w:rFonts w:ascii="宋体" w:hAnsi="宋体" w:cs="宋体"/>
              </w:rPr>
            </w:pPr>
            <w:r>
              <w:rPr>
                <w:rFonts w:hint="eastAsia" w:ascii="宋体" w:hAnsi="宋体" w:cs="宋体"/>
              </w:rPr>
              <w:t>4.在签订合同时，中标人明确表示无需预付款或者主动要求降低预付款比例的，应提交相应申请函经采购人确认后，可不适用前述规定。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snapToGrid w:val="0"/>
                <w:kern w:val="0"/>
              </w:rPr>
            </w:pPr>
            <w:r>
              <w:rPr>
                <w:rFonts w:hint="eastAsia" w:ascii="宋体" w:hAnsi="宋体" w:cs="宋体"/>
                <w:snapToGrid w:val="0"/>
                <w:kern w:val="0"/>
              </w:rPr>
              <w:t>22</w:t>
            </w:r>
          </w:p>
        </w:tc>
        <w:tc>
          <w:tcPr>
            <w:tcW w:w="1800" w:type="dxa"/>
            <w:vAlign w:val="center"/>
          </w:tcPr>
          <w:p>
            <w:pPr>
              <w:snapToGrid w:val="0"/>
              <w:jc w:val="center"/>
              <w:rPr>
                <w:rFonts w:ascii="宋体"/>
              </w:rPr>
            </w:pPr>
            <w:r>
              <w:rPr>
                <w:rFonts w:hint="eastAsia" w:ascii="宋体" w:hAnsi="宋体" w:cs="宋体"/>
              </w:rPr>
              <w:t>供应商信用信息查询渠道及截止时点、信用信息查询记录和证据留存的具体方式、信用信息的使用规则</w:t>
            </w:r>
          </w:p>
        </w:tc>
        <w:tc>
          <w:tcPr>
            <w:tcW w:w="6682" w:type="dxa"/>
            <w:vAlign w:val="center"/>
          </w:tcPr>
          <w:p>
            <w:pPr>
              <w:ind w:firstLine="420" w:firstLineChars="200"/>
              <w:rPr>
                <w:rFonts w:ascii="宋体"/>
              </w:rPr>
            </w:pPr>
            <w:r>
              <w:rPr>
                <w:rFonts w:ascii="宋体" w:hAnsi="宋体" w:cs="宋体"/>
              </w:rPr>
              <w:t>1</w:t>
            </w:r>
            <w:r>
              <w:rPr>
                <w:rFonts w:hint="eastAsia" w:ascii="宋体" w:hAnsi="宋体" w:cs="宋体"/>
              </w:rPr>
              <w:t>.查询渠道：信用中国（网址：</w:t>
            </w:r>
            <w:r>
              <w:rPr>
                <w:rFonts w:ascii="宋体" w:hAnsi="宋体" w:cs="宋体"/>
              </w:rPr>
              <w:t>http://www.creditchina.gov.cn</w:t>
            </w:r>
            <w:r>
              <w:rPr>
                <w:rFonts w:hint="eastAsia" w:ascii="宋体" w:hAnsi="宋体" w:cs="宋体"/>
              </w:rPr>
              <w:t>）、中国政府采购网</w:t>
            </w:r>
            <w:r>
              <w:rPr>
                <w:rFonts w:ascii="宋体" w:hAnsi="宋体" w:cs="宋体"/>
              </w:rPr>
              <w:t>(</w:t>
            </w:r>
            <w:r>
              <w:rPr>
                <w:rFonts w:hint="eastAsia" w:ascii="宋体" w:hAnsi="宋体" w:cs="宋体"/>
              </w:rPr>
              <w:t>网址：</w:t>
            </w:r>
            <w:r>
              <w:rPr>
                <w:rFonts w:ascii="宋体" w:hAnsi="宋体" w:cs="宋体"/>
              </w:rPr>
              <w:t>http://www.ccgp.gov.cn</w:t>
            </w:r>
            <w:r>
              <w:rPr>
                <w:rFonts w:hint="eastAsia" w:ascii="宋体" w:hAnsi="宋体" w:cs="宋体"/>
              </w:rPr>
              <w:t>）。</w:t>
            </w:r>
          </w:p>
          <w:p>
            <w:pPr>
              <w:ind w:firstLine="420" w:firstLineChars="200"/>
              <w:rPr>
                <w:rFonts w:ascii="宋体"/>
              </w:rPr>
            </w:pPr>
            <w:r>
              <w:rPr>
                <w:rFonts w:ascii="宋体" w:hAnsi="宋体" w:cs="宋体"/>
              </w:rPr>
              <w:t>2</w:t>
            </w:r>
            <w:r>
              <w:rPr>
                <w:rFonts w:hint="eastAsia" w:ascii="宋体" w:hAnsi="宋体" w:cs="宋体"/>
              </w:rPr>
              <w:t>.截止时点：开标后评标前。</w:t>
            </w:r>
          </w:p>
          <w:p>
            <w:pPr>
              <w:ind w:firstLine="420" w:firstLineChars="200"/>
              <w:rPr>
                <w:rFonts w:ascii="宋体"/>
              </w:rPr>
            </w:pPr>
            <w:r>
              <w:rPr>
                <w:rFonts w:ascii="宋体" w:hAnsi="宋体" w:cs="宋体"/>
              </w:rPr>
              <w:t>3</w:t>
            </w:r>
            <w:r>
              <w:rPr>
                <w:rFonts w:hint="eastAsia" w:ascii="宋体" w:hAnsi="宋体" w:cs="宋体"/>
              </w:rPr>
              <w:t>.信用信息查询记录和证据留存的具体方式：由采购组织机构在规定查询时间内打印信用信息查询记录并归入项目档案。</w:t>
            </w:r>
          </w:p>
          <w:p>
            <w:pPr>
              <w:ind w:firstLine="420" w:firstLineChars="200"/>
              <w:rPr>
                <w:rFonts w:ascii="宋体"/>
              </w:rPr>
            </w:pPr>
            <w:r>
              <w:rPr>
                <w:rFonts w:ascii="宋体" w:hAnsi="宋体" w:cs="宋体"/>
              </w:rPr>
              <w:t>4</w:t>
            </w:r>
            <w:r>
              <w:rPr>
                <w:rFonts w:hint="eastAsia" w:ascii="宋体" w:hAnsi="宋体" w:cs="宋体"/>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snapToGrid w:val="0"/>
                <w:kern w:val="0"/>
              </w:rPr>
            </w:pPr>
            <w:r>
              <w:rPr>
                <w:rFonts w:hint="eastAsia" w:ascii="宋体" w:hAnsi="宋体" w:cs="宋体"/>
                <w:snapToGrid w:val="0"/>
                <w:kern w:val="0"/>
              </w:rPr>
              <w:t>23</w:t>
            </w:r>
          </w:p>
        </w:tc>
        <w:tc>
          <w:tcPr>
            <w:tcW w:w="1800" w:type="dxa"/>
            <w:vAlign w:val="center"/>
          </w:tcPr>
          <w:p>
            <w:pPr>
              <w:snapToGrid w:val="0"/>
              <w:jc w:val="center"/>
              <w:rPr>
                <w:rFonts w:ascii="宋体"/>
              </w:rPr>
            </w:pPr>
            <w:r>
              <w:rPr>
                <w:rFonts w:hint="eastAsia" w:ascii="宋体" w:hAnsi="宋体" w:cs="宋体"/>
              </w:rPr>
              <w:t>金融支持</w:t>
            </w:r>
          </w:p>
        </w:tc>
        <w:tc>
          <w:tcPr>
            <w:tcW w:w="6682" w:type="dxa"/>
            <w:vAlign w:val="center"/>
          </w:tcPr>
          <w:p>
            <w:pPr>
              <w:ind w:firstLine="420" w:firstLineChars="200"/>
              <w:rPr>
                <w:rFonts w:ascii="宋体"/>
              </w:rPr>
            </w:pPr>
            <w:r>
              <w:rPr>
                <w:rFonts w:hint="eastAsia" w:ascii="宋体" w:hAnsi="宋体" w:cs="宋体"/>
              </w:rPr>
              <w:t>为支持和促进中小企业发展，进一步发挥政府采购政策功能，浙江省财政厅出台浙财采监〔</w:t>
            </w:r>
            <w:r>
              <w:rPr>
                <w:rFonts w:ascii="宋体" w:hAnsi="宋体" w:cs="宋体"/>
              </w:rPr>
              <w:t>2020</w:t>
            </w:r>
            <w:r>
              <w:rPr>
                <w:rFonts w:hint="eastAsia" w:ascii="宋体" w:hAnsi="宋体" w:cs="宋体"/>
              </w:rPr>
              <w:t>〕</w:t>
            </w:r>
            <w:r>
              <w:rPr>
                <w:rFonts w:ascii="宋体" w:hAnsi="宋体" w:cs="宋体"/>
              </w:rPr>
              <w:t xml:space="preserve">3 </w:t>
            </w:r>
            <w:r>
              <w:rPr>
                <w:rFonts w:hint="eastAsia" w:ascii="宋体" w:hAnsi="宋体" w:cs="宋体"/>
              </w:rPr>
              <w:t>号文件，企业若有融资意向，可登陆政采云平台融资服务（</w:t>
            </w:r>
            <w:r>
              <w:rPr>
                <w:rFonts w:ascii="宋体" w:hAnsi="宋体" w:cs="宋体"/>
              </w:rPr>
              <w:t>https://jinrong.zcygov.cn/</w:t>
            </w:r>
            <w:r>
              <w:rPr>
                <w:rFonts w:hint="eastAsia" w:ascii="宋体" w:hAnsi="宋体" w:cs="宋体"/>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spacing w:line="360" w:lineRule="exact"/>
              <w:jc w:val="center"/>
              <w:rPr>
                <w:rFonts w:ascii="宋体"/>
                <w:snapToGrid w:val="0"/>
                <w:kern w:val="0"/>
              </w:rPr>
            </w:pPr>
            <w:r>
              <w:rPr>
                <w:rFonts w:hint="eastAsia" w:ascii="宋体" w:hAnsi="宋体" w:cs="宋体"/>
                <w:snapToGrid w:val="0"/>
                <w:kern w:val="0"/>
              </w:rPr>
              <w:t>24</w:t>
            </w:r>
          </w:p>
        </w:tc>
        <w:tc>
          <w:tcPr>
            <w:tcW w:w="1800" w:type="dxa"/>
            <w:tcBorders>
              <w:bottom w:val="double" w:color="auto" w:sz="4" w:space="0"/>
            </w:tcBorders>
            <w:vAlign w:val="center"/>
          </w:tcPr>
          <w:p>
            <w:pPr>
              <w:snapToGrid w:val="0"/>
              <w:jc w:val="center"/>
              <w:rPr>
                <w:rFonts w:ascii="宋体"/>
              </w:rPr>
            </w:pPr>
            <w:r>
              <w:rPr>
                <w:rFonts w:hint="eastAsia" w:ascii="宋体" w:hAnsi="宋体" w:cs="宋体"/>
              </w:rPr>
              <w:t>其他</w:t>
            </w:r>
          </w:p>
        </w:tc>
        <w:tc>
          <w:tcPr>
            <w:tcW w:w="6682" w:type="dxa"/>
            <w:tcBorders>
              <w:bottom w:val="double" w:color="auto" w:sz="4" w:space="0"/>
            </w:tcBorders>
            <w:vAlign w:val="center"/>
          </w:tcPr>
          <w:p>
            <w:pPr>
              <w:ind w:firstLine="422" w:firstLineChars="200"/>
              <w:rPr>
                <w:rFonts w:ascii="宋体" w:hAnsi="宋体" w:cs="宋体"/>
                <w:b/>
                <w:bCs/>
              </w:rPr>
            </w:pPr>
            <w:r>
              <w:rPr>
                <w:rFonts w:hint="eastAsia" w:ascii="宋体" w:hAnsi="宋体" w:cs="宋体"/>
                <w:b/>
                <w:bCs/>
              </w:rPr>
              <w:t>1.本磋商文件要求提供的身份证复印件皆需提供正反面，否则按不提供处理。</w:t>
            </w:r>
          </w:p>
          <w:p>
            <w:pPr>
              <w:ind w:firstLine="422" w:firstLineChars="200"/>
              <w:rPr>
                <w:rFonts w:ascii="宋体"/>
                <w:b/>
                <w:bCs/>
              </w:rPr>
            </w:pPr>
            <w:r>
              <w:rPr>
                <w:rFonts w:hint="eastAsia" w:ascii="宋体" w:hAnsi="宋体" w:cs="宋体"/>
                <w:b/>
                <w:bCs/>
              </w:rPr>
              <w:t>2.本项目实施如涉及柴油动力移动源，柴油动力移动源应当符合低排放要求。</w:t>
            </w:r>
          </w:p>
        </w:tc>
      </w:tr>
    </w:tbl>
    <w:p>
      <w:pPr>
        <w:pStyle w:val="5"/>
        <w:rPr>
          <w:rFonts w:ascii="宋体"/>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sz w:val="24"/>
          <w:szCs w:val="24"/>
        </w:rPr>
        <w:t>注：以上内容如有变化将另行通知。如通知其中某一内容发生变化，其余未提及的将不作变动。</w:t>
      </w:r>
    </w:p>
    <w:p>
      <w:pPr>
        <w:pStyle w:val="4"/>
        <w:numPr>
          <w:ilvl w:val="0"/>
          <w:numId w:val="8"/>
        </w:numPr>
        <w:spacing w:line="336" w:lineRule="auto"/>
        <w:jc w:val="center"/>
        <w:rPr>
          <w:rFonts w:hAnsi="宋体" w:cs="Times New Roman"/>
        </w:rPr>
      </w:pPr>
      <w:r>
        <w:rPr>
          <w:rFonts w:hAnsi="宋体"/>
        </w:rPr>
        <w:t xml:space="preserve"> </w:t>
      </w:r>
      <w:bookmarkStart w:id="10" w:name="_Toc6389"/>
      <w:bookmarkStart w:id="11" w:name="_Toc25187"/>
      <w:r>
        <w:rPr>
          <w:rFonts w:hint="eastAsia" w:hAnsi="宋体"/>
        </w:rPr>
        <w:t>总则</w:t>
      </w:r>
      <w:bookmarkEnd w:id="10"/>
      <w:bookmarkEnd w:id="11"/>
    </w:p>
    <w:p>
      <w:pPr>
        <w:spacing w:line="336" w:lineRule="auto"/>
        <w:ind w:firstLine="480" w:firstLineChars="200"/>
      </w:pPr>
      <w:r>
        <w:rPr>
          <w:rFonts w:hint="eastAsia" w:cs="宋体"/>
          <w:sz w:val="24"/>
          <w:szCs w:val="24"/>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36" w:lineRule="auto"/>
        <w:ind w:firstLine="482" w:firstLineChars="200"/>
        <w:rPr>
          <w:rFonts w:ascii="宋体"/>
          <w:b/>
          <w:bCs/>
          <w:sz w:val="24"/>
          <w:szCs w:val="24"/>
        </w:rPr>
      </w:pPr>
      <w:r>
        <w:rPr>
          <w:rFonts w:ascii="宋体" w:hAnsi="宋体" w:cs="宋体"/>
          <w:b/>
          <w:bCs/>
          <w:sz w:val="24"/>
          <w:szCs w:val="24"/>
        </w:rPr>
        <w:t>1</w:t>
      </w:r>
      <w:r>
        <w:rPr>
          <w:rFonts w:hint="eastAsia" w:ascii="宋体" w:hAnsi="宋体" w:cs="宋体"/>
          <w:b/>
          <w:bCs/>
          <w:sz w:val="24"/>
          <w:szCs w:val="24"/>
        </w:rPr>
        <w:t>.适用范围</w:t>
      </w:r>
    </w:p>
    <w:p>
      <w:pPr>
        <w:spacing w:line="336" w:lineRule="auto"/>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本次磋商工作仅适用于</w:t>
      </w:r>
      <w:r>
        <w:rPr>
          <w:rFonts w:hint="eastAsia" w:ascii="宋体" w:hAnsi="宋体" w:cs="宋体"/>
          <w:sz w:val="24"/>
          <w:szCs w:val="24"/>
          <w:u w:val="single"/>
        </w:rPr>
        <w:t>曹娥江上虞河段精细化水文预报项目</w:t>
      </w:r>
      <w:r>
        <w:rPr>
          <w:rFonts w:hint="eastAsia" w:ascii="宋体" w:hAnsi="宋体" w:cs="宋体"/>
          <w:sz w:val="24"/>
          <w:szCs w:val="24"/>
        </w:rPr>
        <w:t>。</w:t>
      </w:r>
    </w:p>
    <w:p>
      <w:pPr>
        <w:spacing w:line="336" w:lineRule="auto"/>
        <w:ind w:firstLine="480" w:firstLineChars="200"/>
        <w:rPr>
          <w:rFonts w:ascii="宋体" w:hAnsi="宋体" w:cs="宋体"/>
          <w:sz w:val="24"/>
          <w:szCs w:val="24"/>
        </w:rPr>
      </w:pPr>
      <w:r>
        <w:rPr>
          <w:rFonts w:hint="eastAsia" w:ascii="宋体" w:hAnsi="宋体" w:cs="宋体"/>
          <w:sz w:val="24"/>
          <w:szCs w:val="24"/>
        </w:rPr>
        <w:t>1.2本项目采购方式采用竞争性磋商方式。</w:t>
      </w:r>
    </w:p>
    <w:p>
      <w:pPr>
        <w:spacing w:line="336" w:lineRule="auto"/>
        <w:ind w:firstLine="482" w:firstLineChars="200"/>
        <w:rPr>
          <w:rFonts w:ascii="宋体"/>
          <w:b/>
          <w:bCs/>
          <w:sz w:val="24"/>
          <w:szCs w:val="24"/>
        </w:rPr>
      </w:pPr>
      <w:r>
        <w:rPr>
          <w:rFonts w:ascii="宋体" w:hAnsi="宋体" w:cs="宋体"/>
          <w:b/>
          <w:bCs/>
          <w:sz w:val="24"/>
          <w:szCs w:val="24"/>
        </w:rPr>
        <w:t>2</w:t>
      </w:r>
      <w:r>
        <w:rPr>
          <w:rFonts w:hint="eastAsia" w:ascii="宋体" w:hAnsi="宋体" w:cs="宋体"/>
          <w:b/>
          <w:bCs/>
          <w:sz w:val="24"/>
          <w:szCs w:val="24"/>
        </w:rPr>
        <w:t>.定义</w:t>
      </w:r>
    </w:p>
    <w:p>
      <w:pPr>
        <w:spacing w:line="336" w:lineRule="auto"/>
        <w:ind w:firstLine="480" w:firstLineChars="200"/>
        <w:rPr>
          <w:rFonts w:ascii="宋体"/>
          <w:sz w:val="24"/>
          <w:szCs w:val="24"/>
          <w:u w:val="single"/>
        </w:rPr>
      </w:pPr>
      <w:r>
        <w:rPr>
          <w:rFonts w:ascii="宋体" w:hAnsi="宋体" w:cs="宋体"/>
          <w:sz w:val="24"/>
          <w:szCs w:val="24"/>
        </w:rPr>
        <w:t>2.1</w:t>
      </w:r>
      <w:r>
        <w:rPr>
          <w:rFonts w:hint="eastAsia" w:ascii="宋体" w:hAnsi="宋体" w:cs="宋体"/>
          <w:sz w:val="24"/>
          <w:szCs w:val="24"/>
        </w:rPr>
        <w:t>“</w:t>
      </w:r>
      <w:r>
        <w:rPr>
          <w:rFonts w:hint="eastAsia" w:ascii="宋体" w:hAnsi="宋体" w:cs="宋体"/>
          <w:sz w:val="24"/>
          <w:szCs w:val="24"/>
          <w:lang w:val="zh-CN"/>
        </w:rPr>
        <w:t>采购人”系指</w:t>
      </w:r>
      <w:r>
        <w:rPr>
          <w:rFonts w:ascii="宋体" w:hAnsi="宋体" w:cs="宋体"/>
          <w:sz w:val="24"/>
          <w:szCs w:val="24"/>
          <w:u w:val="single"/>
        </w:rPr>
        <w:t xml:space="preserve"> </w:t>
      </w:r>
      <w:r>
        <w:rPr>
          <w:rFonts w:hint="eastAsia" w:ascii="宋体" w:hAnsi="宋体" w:cs="宋体"/>
          <w:sz w:val="24"/>
          <w:szCs w:val="24"/>
          <w:u w:val="single"/>
        </w:rPr>
        <w:t>绍兴市上虞区水文站</w:t>
      </w:r>
      <w:r>
        <w:rPr>
          <w:rFonts w:ascii="宋体" w:hAnsi="宋体" w:cs="宋体"/>
          <w:sz w:val="24"/>
          <w:szCs w:val="24"/>
          <w:u w:val="single"/>
        </w:rPr>
        <w:t xml:space="preserve"> </w:t>
      </w:r>
      <w:r>
        <w:rPr>
          <w:rFonts w:hint="eastAsia" w:ascii="宋体" w:hAnsi="宋体" w:cs="宋体"/>
          <w:sz w:val="24"/>
          <w:szCs w:val="24"/>
        </w:rPr>
        <w:t>。采购人委托</w:t>
      </w:r>
      <w:r>
        <w:rPr>
          <w:rFonts w:ascii="宋体" w:hAnsi="宋体" w:cs="宋体"/>
          <w:sz w:val="24"/>
          <w:szCs w:val="24"/>
          <w:u w:val="single"/>
        </w:rPr>
        <w:t xml:space="preserve"> </w:t>
      </w:r>
      <w:r>
        <w:rPr>
          <w:rFonts w:hint="eastAsia" w:ascii="宋体" w:hAnsi="宋体" w:cs="宋体"/>
          <w:sz w:val="24"/>
          <w:szCs w:val="24"/>
          <w:u w:val="single"/>
        </w:rPr>
        <w:t>浙江天平项目咨询有限公司</w:t>
      </w:r>
      <w:r>
        <w:rPr>
          <w:rFonts w:ascii="宋体" w:hAnsi="宋体" w:cs="宋体"/>
          <w:sz w:val="24"/>
          <w:szCs w:val="24"/>
          <w:u w:val="single"/>
        </w:rPr>
        <w:t xml:space="preserve"> </w:t>
      </w:r>
      <w:r>
        <w:rPr>
          <w:rFonts w:hint="eastAsia" w:ascii="宋体" w:hAnsi="宋体" w:cs="宋体"/>
          <w:sz w:val="24"/>
          <w:szCs w:val="24"/>
        </w:rPr>
        <w:t>为本项目采购代理机构。</w:t>
      </w:r>
    </w:p>
    <w:p>
      <w:pPr>
        <w:spacing w:line="336" w:lineRule="auto"/>
        <w:ind w:firstLine="480" w:firstLineChars="200"/>
        <w:rPr>
          <w:rFonts w:ascii="宋体"/>
          <w:sz w:val="24"/>
          <w:szCs w:val="24"/>
        </w:rPr>
      </w:pPr>
      <w:r>
        <w:rPr>
          <w:rFonts w:ascii="宋体" w:hAnsi="宋体" w:cs="宋体"/>
          <w:sz w:val="24"/>
          <w:szCs w:val="24"/>
        </w:rPr>
        <w:t>2.2</w:t>
      </w:r>
      <w:r>
        <w:rPr>
          <w:rFonts w:hint="eastAsia" w:ascii="宋体" w:hAnsi="宋体" w:cs="宋体"/>
          <w:sz w:val="24"/>
          <w:szCs w:val="24"/>
        </w:rPr>
        <w:t>“磋商供应商”系指响应本次采购，参加本次竞争性磋商的供应商。</w:t>
      </w:r>
    </w:p>
    <w:p>
      <w:pPr>
        <w:spacing w:line="336" w:lineRule="auto"/>
        <w:ind w:firstLine="480" w:firstLineChars="200"/>
        <w:rPr>
          <w:rFonts w:ascii="宋体"/>
          <w:sz w:val="24"/>
          <w:szCs w:val="24"/>
          <w:lang w:val="zh-CN"/>
        </w:rPr>
      </w:pPr>
      <w:r>
        <w:rPr>
          <w:rFonts w:ascii="宋体" w:hAnsi="宋体" w:cs="宋体"/>
          <w:sz w:val="24"/>
          <w:szCs w:val="24"/>
        </w:rPr>
        <w:t>2.3</w:t>
      </w:r>
      <w:r>
        <w:rPr>
          <w:rFonts w:hint="eastAsia" w:ascii="宋体" w:hAnsi="宋体" w:cs="宋体"/>
          <w:sz w:val="24"/>
          <w:szCs w:val="24"/>
          <w:lang w:val="zh-CN"/>
        </w:rPr>
        <w:t>“服务”系指</w:t>
      </w:r>
      <w:r>
        <w:rPr>
          <w:rFonts w:hint="eastAsia" w:ascii="宋体" w:hAnsi="宋体" w:cs="宋体"/>
          <w:sz w:val="24"/>
          <w:szCs w:val="24"/>
        </w:rPr>
        <w:t>磋商供应商按合同规定，须承担的服务的义务</w:t>
      </w:r>
      <w:r>
        <w:rPr>
          <w:rFonts w:hint="eastAsia" w:ascii="宋体" w:hAnsi="宋体" w:cs="宋体"/>
          <w:sz w:val="24"/>
          <w:szCs w:val="24"/>
          <w:lang w:val="zh-CN"/>
        </w:rPr>
        <w:t>。</w:t>
      </w:r>
    </w:p>
    <w:p>
      <w:pPr>
        <w:spacing w:line="336" w:lineRule="auto"/>
        <w:ind w:firstLine="482" w:firstLineChars="200"/>
        <w:rPr>
          <w:rFonts w:ascii="宋体"/>
          <w:b/>
          <w:bCs/>
          <w:sz w:val="24"/>
          <w:szCs w:val="24"/>
        </w:rPr>
      </w:pPr>
      <w:r>
        <w:rPr>
          <w:rFonts w:ascii="宋体" w:hAnsi="宋体" w:cs="宋体"/>
          <w:b/>
          <w:bCs/>
          <w:sz w:val="24"/>
          <w:szCs w:val="24"/>
        </w:rPr>
        <w:t>3</w:t>
      </w:r>
      <w:r>
        <w:rPr>
          <w:rFonts w:hint="eastAsia" w:ascii="宋体" w:hAnsi="宋体" w:cs="宋体"/>
          <w:b/>
          <w:bCs/>
          <w:sz w:val="24"/>
          <w:szCs w:val="24"/>
        </w:rPr>
        <w:t>.采购项目概况</w:t>
      </w:r>
      <w:r>
        <w:rPr>
          <w:rFonts w:ascii="宋体"/>
          <w:b/>
          <w:bCs/>
          <w:sz w:val="24"/>
          <w:szCs w:val="24"/>
        </w:rPr>
        <w:tab/>
      </w:r>
      <w:r>
        <w:rPr>
          <w:rFonts w:ascii="宋体"/>
          <w:b/>
          <w:bCs/>
          <w:sz w:val="24"/>
          <w:szCs w:val="24"/>
        </w:rPr>
        <w:tab/>
      </w:r>
    </w:p>
    <w:p>
      <w:pPr>
        <w:spacing w:line="336" w:lineRule="auto"/>
        <w:ind w:firstLine="480" w:firstLineChars="200"/>
        <w:rPr>
          <w:rFonts w:ascii="宋体"/>
          <w:sz w:val="24"/>
          <w:szCs w:val="24"/>
        </w:rPr>
      </w:pPr>
      <w:r>
        <w:rPr>
          <w:rFonts w:hint="eastAsia" w:ascii="宋体" w:hAnsi="宋体" w:cs="宋体"/>
          <w:sz w:val="24"/>
          <w:szCs w:val="24"/>
        </w:rPr>
        <w:t>详见竞争性磋商公告相关内容，主要要求参见本文件第</w:t>
      </w:r>
      <w:r>
        <w:rPr>
          <w:rFonts w:ascii="宋体" w:hAnsi="宋体" w:cs="宋体"/>
          <w:sz w:val="24"/>
          <w:szCs w:val="24"/>
          <w:u w:val="single"/>
        </w:rPr>
        <w:t xml:space="preserve"> </w:t>
      </w:r>
      <w:r>
        <w:rPr>
          <w:rFonts w:hint="eastAsia" w:ascii="宋体" w:hAnsi="宋体" w:cs="宋体"/>
          <w:sz w:val="24"/>
          <w:szCs w:val="24"/>
          <w:u w:val="single"/>
        </w:rPr>
        <w:t>三</w:t>
      </w:r>
      <w:r>
        <w:rPr>
          <w:rFonts w:ascii="宋体" w:hAnsi="宋体" w:cs="宋体"/>
          <w:sz w:val="24"/>
          <w:szCs w:val="24"/>
          <w:u w:val="single"/>
        </w:rPr>
        <w:t xml:space="preserve"> </w:t>
      </w:r>
      <w:r>
        <w:rPr>
          <w:rFonts w:hint="eastAsia" w:ascii="宋体" w:hAnsi="宋体" w:cs="宋体"/>
          <w:sz w:val="24"/>
          <w:szCs w:val="24"/>
        </w:rPr>
        <w:t>部分。</w:t>
      </w:r>
    </w:p>
    <w:p>
      <w:pPr>
        <w:adjustRightInd w:val="0"/>
        <w:spacing w:line="336" w:lineRule="auto"/>
        <w:ind w:firstLine="482" w:firstLineChars="200"/>
        <w:rPr>
          <w:rFonts w:ascii="宋体"/>
          <w:b/>
          <w:bCs/>
          <w:sz w:val="24"/>
          <w:szCs w:val="24"/>
        </w:rPr>
      </w:pPr>
      <w:r>
        <w:rPr>
          <w:rFonts w:ascii="宋体" w:hAnsi="宋体" w:cs="宋体"/>
          <w:b/>
          <w:bCs/>
          <w:sz w:val="24"/>
          <w:szCs w:val="24"/>
        </w:rPr>
        <w:t>4</w:t>
      </w:r>
      <w:r>
        <w:rPr>
          <w:rFonts w:hint="eastAsia" w:ascii="宋体" w:hAnsi="宋体" w:cs="宋体"/>
          <w:b/>
          <w:bCs/>
          <w:sz w:val="24"/>
          <w:szCs w:val="24"/>
        </w:rPr>
        <w:t>.合格的磋商供应商</w:t>
      </w:r>
    </w:p>
    <w:p>
      <w:pPr>
        <w:spacing w:line="336" w:lineRule="auto"/>
        <w:ind w:firstLine="480" w:firstLineChars="200"/>
        <w:rPr>
          <w:rFonts w:ascii="宋体"/>
          <w:sz w:val="24"/>
          <w:szCs w:val="24"/>
        </w:rPr>
      </w:pPr>
      <w:bookmarkStart w:id="12" w:name="_Toc208913145"/>
      <w:bookmarkStart w:id="13" w:name="_Toc197163261"/>
      <w:bookmarkStart w:id="14" w:name="_Toc208287611"/>
      <w:bookmarkStart w:id="15" w:name="_Toc193538208"/>
      <w:bookmarkStart w:id="16" w:name="_Toc209520993"/>
      <w:bookmarkStart w:id="17" w:name="_Toc209435242"/>
      <w:bookmarkStart w:id="18" w:name="_Toc197053926"/>
      <w:bookmarkStart w:id="19" w:name="_Toc197156227"/>
      <w:bookmarkStart w:id="20" w:name="_Toc209504018"/>
      <w:bookmarkStart w:id="21" w:name="_Toc211412066"/>
      <w:bookmarkStart w:id="22" w:name="_Toc204683265"/>
      <w:bookmarkStart w:id="23" w:name="_Toc207946571"/>
      <w:bookmarkStart w:id="24" w:name="_Toc193523219"/>
      <w:bookmarkStart w:id="25" w:name="_Toc197657950"/>
      <w:r>
        <w:rPr>
          <w:rFonts w:hint="eastAsia" w:ascii="宋体" w:hAnsi="宋体" w:cs="宋体"/>
          <w:sz w:val="24"/>
          <w:szCs w:val="24"/>
        </w:rPr>
        <w:t>详见竞争性磋商采购公告磋商供应商的资格要求规定。</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336" w:lineRule="auto"/>
        <w:ind w:firstLine="482" w:firstLineChars="200"/>
        <w:rPr>
          <w:rFonts w:ascii="宋体"/>
          <w:b/>
          <w:bCs/>
          <w:sz w:val="24"/>
          <w:szCs w:val="24"/>
        </w:rPr>
      </w:pPr>
      <w:r>
        <w:rPr>
          <w:rFonts w:ascii="宋体" w:hAnsi="宋体" w:cs="宋体"/>
          <w:b/>
          <w:bCs/>
          <w:sz w:val="24"/>
          <w:szCs w:val="24"/>
        </w:rPr>
        <w:t>5</w:t>
      </w:r>
      <w:r>
        <w:rPr>
          <w:rFonts w:hint="eastAsia" w:ascii="宋体" w:hAnsi="宋体" w:cs="宋体"/>
          <w:b/>
          <w:bCs/>
          <w:sz w:val="24"/>
          <w:szCs w:val="24"/>
        </w:rPr>
        <w:t>.磋商费用</w:t>
      </w:r>
    </w:p>
    <w:p>
      <w:pPr>
        <w:spacing w:line="336" w:lineRule="auto"/>
        <w:ind w:firstLine="480" w:firstLineChars="200"/>
        <w:rPr>
          <w:rFonts w:ascii="宋体"/>
          <w:sz w:val="24"/>
          <w:szCs w:val="24"/>
        </w:rPr>
      </w:pPr>
      <w:r>
        <w:rPr>
          <w:rFonts w:hint="eastAsia" w:ascii="宋体" w:hAnsi="宋体" w:cs="宋体"/>
          <w:sz w:val="24"/>
          <w:szCs w:val="24"/>
        </w:rPr>
        <w:t>磋商供应商应承担其参加磋商所涉及的一切费用，不管结果如何，采购人对上述费用不负任何责任。</w:t>
      </w:r>
    </w:p>
    <w:p>
      <w:pPr>
        <w:pStyle w:val="4"/>
        <w:numPr>
          <w:ilvl w:val="0"/>
          <w:numId w:val="8"/>
        </w:numPr>
        <w:spacing w:line="336" w:lineRule="auto"/>
        <w:jc w:val="center"/>
        <w:rPr>
          <w:rFonts w:cs="Times New Roman"/>
        </w:rPr>
      </w:pPr>
      <w:bookmarkStart w:id="26" w:name="_Toc416992151"/>
      <w:bookmarkStart w:id="27" w:name="_Toc32689"/>
      <w:bookmarkStart w:id="28" w:name="_Toc25923"/>
      <w:r>
        <w:t xml:space="preserve"> </w:t>
      </w:r>
      <w:bookmarkStart w:id="29" w:name="_Toc23316"/>
      <w:bookmarkStart w:id="30" w:name="_Toc11814"/>
      <w:r>
        <w:rPr>
          <w:rFonts w:hint="eastAsia"/>
        </w:rPr>
        <w:t>竞争性磋商文件</w:t>
      </w:r>
      <w:bookmarkEnd w:id="26"/>
      <w:bookmarkEnd w:id="27"/>
      <w:bookmarkEnd w:id="28"/>
      <w:bookmarkEnd w:id="29"/>
      <w:bookmarkEnd w:id="30"/>
    </w:p>
    <w:p>
      <w:pPr>
        <w:adjustRightInd w:val="0"/>
        <w:spacing w:line="336" w:lineRule="auto"/>
        <w:ind w:firstLine="482" w:firstLineChars="200"/>
        <w:rPr>
          <w:rFonts w:ascii="宋体"/>
          <w:b/>
          <w:bCs/>
          <w:sz w:val="24"/>
          <w:szCs w:val="24"/>
        </w:rPr>
      </w:pPr>
      <w:r>
        <w:rPr>
          <w:rFonts w:ascii="宋体" w:hAnsi="宋体" w:cs="宋体"/>
          <w:b/>
          <w:bCs/>
          <w:sz w:val="24"/>
          <w:szCs w:val="24"/>
        </w:rPr>
        <w:t>6</w:t>
      </w:r>
      <w:r>
        <w:rPr>
          <w:rFonts w:hint="eastAsia" w:ascii="宋体" w:hAnsi="宋体" w:cs="宋体"/>
          <w:b/>
          <w:bCs/>
          <w:sz w:val="24"/>
          <w:szCs w:val="24"/>
        </w:rPr>
        <w:t>.磋商文件的组成</w:t>
      </w:r>
    </w:p>
    <w:p>
      <w:pPr>
        <w:adjustRightInd w:val="0"/>
        <w:spacing w:line="336" w:lineRule="auto"/>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本磋商文件包括目录所示内容及所有按本须知发出的补充资料（如果有）。</w:t>
      </w:r>
    </w:p>
    <w:p>
      <w:pPr>
        <w:adjustRightInd w:val="0"/>
        <w:spacing w:line="336" w:lineRule="auto"/>
        <w:ind w:firstLine="480" w:firstLineChars="200"/>
        <w:rPr>
          <w:rFonts w:ascii="宋体"/>
          <w:sz w:val="24"/>
          <w:szCs w:val="24"/>
        </w:rPr>
      </w:pPr>
      <w:r>
        <w:rPr>
          <w:rFonts w:ascii="宋体" w:hAnsi="宋体" w:cs="宋体"/>
          <w:sz w:val="24"/>
          <w:szCs w:val="24"/>
        </w:rPr>
        <w:t>6.2</w:t>
      </w:r>
      <w:r>
        <w:rPr>
          <w:rFonts w:hint="eastAsia" w:ascii="宋体" w:hAnsi="宋体" w:cs="宋体"/>
          <w:sz w:val="24"/>
          <w:szCs w:val="24"/>
        </w:rPr>
        <w:t>除上述所列内容外，采购人及采购代理机构的任何工作人员对磋商供应商所作的任何口头解释、介绍、答复，只能供磋商供应商参考，对采购人和磋商供应商无任何约束力。</w:t>
      </w:r>
    </w:p>
    <w:p>
      <w:pPr>
        <w:adjustRightInd w:val="0"/>
        <w:spacing w:line="336" w:lineRule="auto"/>
        <w:ind w:firstLine="480" w:firstLineChars="200"/>
        <w:rPr>
          <w:rFonts w:ascii="宋体"/>
          <w:sz w:val="24"/>
          <w:szCs w:val="24"/>
        </w:rPr>
      </w:pPr>
      <w:r>
        <w:rPr>
          <w:rFonts w:ascii="宋体" w:hAnsi="宋体" w:cs="宋体"/>
          <w:sz w:val="24"/>
          <w:szCs w:val="24"/>
        </w:rPr>
        <w:t>6.3</w:t>
      </w:r>
      <w:r>
        <w:rPr>
          <w:rFonts w:hint="eastAsia" w:ascii="宋体" w:hAnsi="宋体" w:cs="宋体"/>
          <w:sz w:val="24"/>
          <w:szCs w:val="24"/>
        </w:rPr>
        <w:t>磋商供应商应仔细阅读磋商文件的所有内容，按照文件要求提交响应文件，并保证所提交的全部资料的真实性。不按磋商文件的要求提供的响应文件和资料，可能导致磋商被拒绝。</w:t>
      </w:r>
    </w:p>
    <w:p>
      <w:pPr>
        <w:spacing w:line="336" w:lineRule="auto"/>
        <w:ind w:firstLine="480" w:firstLineChars="200"/>
        <w:rPr>
          <w:rFonts w:ascii="宋体"/>
          <w:sz w:val="24"/>
          <w:szCs w:val="24"/>
        </w:rPr>
      </w:pPr>
      <w:r>
        <w:rPr>
          <w:rFonts w:ascii="宋体" w:hAnsi="宋体" w:cs="宋体"/>
          <w:sz w:val="24"/>
          <w:szCs w:val="24"/>
        </w:rPr>
        <w:t>6.4</w:t>
      </w:r>
      <w:r>
        <w:rPr>
          <w:rFonts w:hint="eastAsia" w:ascii="宋体" w:hAnsi="宋体" w:cs="宋体"/>
          <w:sz w:val="24"/>
          <w:szCs w:val="24"/>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36" w:lineRule="auto"/>
        <w:ind w:firstLine="472" w:firstLineChars="196"/>
        <w:rPr>
          <w:rFonts w:ascii="宋体"/>
          <w:b/>
          <w:bCs/>
          <w:sz w:val="24"/>
          <w:szCs w:val="24"/>
        </w:rPr>
      </w:pPr>
      <w:r>
        <w:rPr>
          <w:rFonts w:ascii="宋体" w:hAnsi="宋体" w:cs="宋体"/>
          <w:b/>
          <w:bCs/>
          <w:sz w:val="24"/>
          <w:szCs w:val="24"/>
        </w:rPr>
        <w:t>7</w:t>
      </w:r>
      <w:r>
        <w:rPr>
          <w:rFonts w:hint="eastAsia" w:ascii="宋体" w:hAnsi="宋体" w:cs="宋体"/>
          <w:b/>
          <w:bCs/>
          <w:sz w:val="24"/>
          <w:szCs w:val="24"/>
        </w:rPr>
        <w:t>.磋商文件的澄清与修改</w:t>
      </w:r>
    </w:p>
    <w:p>
      <w:pPr>
        <w:pStyle w:val="10"/>
        <w:spacing w:line="336" w:lineRule="auto"/>
        <w:ind w:firstLine="480" w:firstLineChars="200"/>
        <w:rPr>
          <w:rFonts w:cs="Times New Roman"/>
        </w:rPr>
      </w:pPr>
      <w:r>
        <w:t>7.1</w:t>
      </w:r>
      <w:r>
        <w:rPr>
          <w:rFonts w:hint="eastAsia"/>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0"/>
        <w:spacing w:line="336" w:lineRule="auto"/>
        <w:ind w:right="-252" w:rightChars="-120" w:firstLine="480" w:firstLineChars="200"/>
        <w:rPr>
          <w:rFonts w:cs="Times New Roman"/>
        </w:rPr>
      </w:pPr>
      <w:r>
        <w:t>7.2</w:t>
      </w:r>
      <w:r>
        <w:rPr>
          <w:rFonts w:hint="eastAsia"/>
        </w:rPr>
        <w:t>磋商供应商要求解释或澄清的问题应以书面形式，并加盖公章、写明日期。</w:t>
      </w:r>
    </w:p>
    <w:p>
      <w:pPr>
        <w:adjustRightInd w:val="0"/>
        <w:spacing w:line="336" w:lineRule="auto"/>
        <w:ind w:firstLine="480" w:firstLineChars="200"/>
        <w:rPr>
          <w:rFonts w:ascii="宋体"/>
          <w:sz w:val="24"/>
          <w:szCs w:val="24"/>
        </w:rPr>
      </w:pPr>
      <w:r>
        <w:rPr>
          <w:rFonts w:ascii="宋体" w:hAnsi="宋体" w:cs="宋体"/>
          <w:sz w:val="24"/>
          <w:szCs w:val="24"/>
        </w:rPr>
        <w:t>7.3</w:t>
      </w:r>
      <w:r>
        <w:rPr>
          <w:rFonts w:hint="eastAsia" w:ascii="宋体" w:hAnsi="宋体" w:cs="宋体"/>
          <w:sz w:val="24"/>
          <w:szCs w:val="24"/>
        </w:rPr>
        <w:t>提交响应文件截止之日前，采购人、采购代理机构或者磋商小组可以对已发出的磋商文件进行必要的澄清或者修改，澄清或者修改的内容作为磋商文件的组成部分。</w:t>
      </w:r>
    </w:p>
    <w:p>
      <w:pPr>
        <w:adjustRightInd w:val="0"/>
        <w:spacing w:line="336" w:lineRule="auto"/>
        <w:ind w:firstLine="480" w:firstLineChars="200"/>
        <w:rPr>
          <w:rFonts w:ascii="宋体"/>
          <w:sz w:val="24"/>
          <w:szCs w:val="24"/>
        </w:rPr>
      </w:pPr>
      <w:r>
        <w:rPr>
          <w:rFonts w:ascii="宋体" w:hAnsi="宋体" w:cs="宋体"/>
          <w:sz w:val="24"/>
          <w:szCs w:val="24"/>
        </w:rPr>
        <w:t>7.4</w:t>
      </w:r>
      <w:r>
        <w:rPr>
          <w:rFonts w:hint="eastAsia" w:ascii="宋体" w:hAnsi="宋体" w:cs="宋体"/>
          <w:sz w:val="24"/>
          <w:szCs w:val="24"/>
        </w:rPr>
        <w:t>竞争性磋商文件的澄清修改文件及更正补充公告，请自行登录浙江政府采购网或绍兴市上虞区公共资源交易中心网站，在采购公告页面中下载。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ascii="宋体"/>
          <w:sz w:val="24"/>
          <w:szCs w:val="24"/>
        </w:rPr>
      </w:pPr>
      <w:r>
        <w:rPr>
          <w:rFonts w:ascii="宋体" w:hAnsi="宋体" w:cs="宋体"/>
          <w:sz w:val="24"/>
          <w:szCs w:val="24"/>
        </w:rPr>
        <w:t>7.5</w:t>
      </w:r>
      <w:r>
        <w:rPr>
          <w:rFonts w:hint="eastAsia" w:ascii="宋体" w:hAnsi="宋体" w:cs="宋体"/>
          <w:sz w:val="24"/>
          <w:szCs w:val="24"/>
        </w:rPr>
        <w:t>澄清或者修改的内容可能影响响应文件编制的，采购人、采购代理机构将在提交响应文件截止时间至少</w:t>
      </w:r>
      <w:r>
        <w:rPr>
          <w:rFonts w:ascii="宋体" w:hAnsi="宋体" w:cs="宋体"/>
          <w:sz w:val="24"/>
          <w:szCs w:val="24"/>
        </w:rPr>
        <w:t>5</w:t>
      </w:r>
      <w:r>
        <w:rPr>
          <w:rFonts w:hint="eastAsia" w:ascii="宋体" w:hAnsi="宋体" w:cs="宋体"/>
          <w:sz w:val="24"/>
          <w:szCs w:val="24"/>
        </w:rPr>
        <w:t>日前，以公告形式通知所有获取磋商文件的供应商；不足</w:t>
      </w:r>
      <w:r>
        <w:rPr>
          <w:rFonts w:ascii="宋体" w:hAnsi="宋体" w:cs="宋体"/>
          <w:sz w:val="24"/>
          <w:szCs w:val="24"/>
        </w:rPr>
        <w:t>5</w:t>
      </w:r>
      <w:r>
        <w:rPr>
          <w:rFonts w:hint="eastAsia" w:ascii="宋体" w:hAnsi="宋体" w:cs="宋体"/>
          <w:sz w:val="24"/>
          <w:szCs w:val="24"/>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36" w:lineRule="auto"/>
        <w:ind w:firstLine="480" w:firstLineChars="200"/>
        <w:rPr>
          <w:rFonts w:ascii="宋体"/>
          <w:sz w:val="24"/>
          <w:szCs w:val="24"/>
        </w:rPr>
      </w:pPr>
      <w:r>
        <w:rPr>
          <w:rFonts w:ascii="宋体" w:hAnsi="宋体" w:cs="宋体"/>
          <w:sz w:val="24"/>
          <w:szCs w:val="24"/>
        </w:rPr>
        <w:t>7.6</w:t>
      </w:r>
      <w:r>
        <w:rPr>
          <w:rFonts w:hint="eastAsia" w:ascii="宋体" w:hAnsi="宋体" w:cs="宋体"/>
          <w:sz w:val="24"/>
          <w:szCs w:val="24"/>
        </w:rPr>
        <w:t>竞争性磋商文件澄清、答复、修改、补充的内容为竞争性磋商文件的组成部分。</w:t>
      </w:r>
    </w:p>
    <w:p>
      <w:pPr>
        <w:pStyle w:val="5"/>
        <w:spacing w:line="336" w:lineRule="auto"/>
        <w:rPr>
          <w:rFonts w:ascii="宋体"/>
          <w:sz w:val="24"/>
          <w:szCs w:val="24"/>
        </w:rPr>
      </w:pPr>
      <w:r>
        <w:rPr>
          <w:rFonts w:ascii="宋体" w:hAnsi="宋体" w:cs="宋体"/>
          <w:sz w:val="24"/>
          <w:szCs w:val="24"/>
        </w:rPr>
        <w:t>7.7</w:t>
      </w:r>
      <w:r>
        <w:rPr>
          <w:rFonts w:hint="eastAsia" w:ascii="宋体" w:hAnsi="宋体" w:cs="宋体"/>
          <w:sz w:val="24"/>
          <w:szCs w:val="24"/>
        </w:rPr>
        <w:t>磋商文件发售截止日后，经采购人同意后购买磋商文件的磋商供应商不得对磋商文件和补充文件提出答疑或质疑。</w:t>
      </w:r>
    </w:p>
    <w:p>
      <w:pPr>
        <w:pStyle w:val="4"/>
        <w:numPr>
          <w:ilvl w:val="0"/>
          <w:numId w:val="8"/>
        </w:numPr>
        <w:spacing w:line="336" w:lineRule="auto"/>
        <w:jc w:val="center"/>
        <w:rPr>
          <w:rFonts w:cs="Times New Roman"/>
        </w:rPr>
      </w:pPr>
      <w:bookmarkStart w:id="31" w:name="_Toc1729"/>
      <w:bookmarkStart w:id="32" w:name="_Toc6079"/>
      <w:bookmarkStart w:id="33" w:name="_Toc23135"/>
      <w:bookmarkStart w:id="34" w:name="_Toc1828"/>
      <w:bookmarkStart w:id="35" w:name="_Toc11093"/>
      <w:bookmarkStart w:id="36" w:name="_Toc24622"/>
      <w:bookmarkStart w:id="37" w:name="_Toc11692"/>
      <w:bookmarkStart w:id="38" w:name="_Toc31748"/>
      <w:bookmarkStart w:id="39" w:name="_Toc11669"/>
      <w:bookmarkStart w:id="40" w:name="_Toc26027"/>
      <w:bookmarkStart w:id="41" w:name="_Toc26603"/>
      <w:bookmarkStart w:id="42" w:name="_Toc10810"/>
      <w:bookmarkStart w:id="43" w:name="_Toc23975"/>
      <w:bookmarkStart w:id="44" w:name="_Toc18702"/>
      <w:bookmarkStart w:id="45" w:name="_Toc10669"/>
      <w:bookmarkStart w:id="46" w:name="_Toc6457"/>
      <w:bookmarkStart w:id="47" w:name="_Toc14650"/>
      <w:bookmarkStart w:id="48" w:name="_Toc7126"/>
      <w:bookmarkStart w:id="49" w:name="_Toc391298957"/>
      <w:bookmarkStart w:id="50" w:name="_Toc6273"/>
      <w:bookmarkStart w:id="51" w:name="_Toc1202"/>
      <w:bookmarkStart w:id="52" w:name="_Toc8860"/>
      <w:r>
        <w:t xml:space="preserve"> </w:t>
      </w:r>
      <w:bookmarkStart w:id="53" w:name="_Toc11515"/>
      <w:bookmarkStart w:id="54" w:name="_Toc16831"/>
      <w:r>
        <w:rPr>
          <w:rFonts w:hint="eastAsia"/>
        </w:rPr>
        <w:t>竞争性磋商响应文件的编写</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spacing w:line="336" w:lineRule="auto"/>
        <w:ind w:firstLine="480" w:firstLineChars="200"/>
        <w:rPr>
          <w:rFonts w:ascii="宋体"/>
          <w:sz w:val="24"/>
          <w:szCs w:val="24"/>
        </w:rPr>
      </w:pPr>
      <w:r>
        <w:rPr>
          <w:rFonts w:ascii="宋体" w:hAnsi="宋体" w:cs="宋体"/>
          <w:sz w:val="24"/>
          <w:szCs w:val="24"/>
        </w:rPr>
        <w:t>8</w:t>
      </w:r>
      <w:r>
        <w:rPr>
          <w:rFonts w:hint="eastAsia" w:ascii="宋体" w:hAnsi="宋体" w:cs="宋体"/>
          <w:sz w:val="24"/>
          <w:szCs w:val="24"/>
        </w:rPr>
        <w:t>.要求</w:t>
      </w:r>
    </w:p>
    <w:p>
      <w:pPr>
        <w:spacing w:line="336" w:lineRule="auto"/>
        <w:ind w:firstLine="480" w:firstLineChars="200"/>
        <w:rPr>
          <w:rFonts w:ascii="宋体"/>
          <w:sz w:val="24"/>
          <w:szCs w:val="24"/>
        </w:rPr>
      </w:pPr>
      <w:r>
        <w:rPr>
          <w:rFonts w:ascii="宋体" w:hAnsi="宋体" w:cs="宋体"/>
          <w:sz w:val="24"/>
          <w:szCs w:val="24"/>
        </w:rPr>
        <w:t>8.1</w:t>
      </w:r>
      <w:r>
        <w:rPr>
          <w:rFonts w:hint="eastAsia" w:ascii="宋体" w:hAnsi="宋体" w:cs="宋体"/>
          <w:sz w:val="24"/>
          <w:szCs w:val="24"/>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36" w:lineRule="auto"/>
        <w:ind w:firstLine="480" w:firstLineChars="200"/>
        <w:rPr>
          <w:rFonts w:ascii="宋体"/>
          <w:sz w:val="24"/>
          <w:szCs w:val="24"/>
        </w:rPr>
      </w:pPr>
      <w:r>
        <w:rPr>
          <w:rFonts w:ascii="宋体" w:hAnsi="宋体" w:cs="宋体"/>
          <w:sz w:val="24"/>
          <w:szCs w:val="24"/>
        </w:rPr>
        <w:t>8.2</w:t>
      </w:r>
      <w:r>
        <w:rPr>
          <w:rFonts w:hint="eastAsia" w:ascii="宋体" w:hAnsi="宋体" w:cs="宋体"/>
          <w:sz w:val="24"/>
          <w:szCs w:val="24"/>
        </w:rPr>
        <w:t>报价</w:t>
      </w:r>
    </w:p>
    <w:p>
      <w:pPr>
        <w:spacing w:line="336" w:lineRule="auto"/>
        <w:ind w:firstLine="480" w:firstLineChars="200"/>
        <w:rPr>
          <w:rFonts w:ascii="宋体"/>
          <w:b/>
          <w:bCs/>
          <w:sz w:val="24"/>
          <w:szCs w:val="24"/>
          <w:shd w:val="clear" w:color="FFFFFF" w:fill="D9D9D9"/>
        </w:rPr>
      </w:pPr>
      <w:r>
        <w:rPr>
          <w:rFonts w:ascii="宋体" w:hAnsi="宋体" w:cs="宋体"/>
          <w:sz w:val="24"/>
          <w:szCs w:val="24"/>
        </w:rPr>
        <w:t>8.2.1</w:t>
      </w:r>
      <w:r>
        <w:rPr>
          <w:rFonts w:hint="eastAsia" w:ascii="宋体" w:hAnsi="宋体" w:cs="宋体"/>
          <w:sz w:val="24"/>
          <w:szCs w:val="24"/>
        </w:rPr>
        <w:t>本次报价非一次性报价，报价币种为人民币。在磋商后根据磋商情况（包括细化采购方案和要求，增补部分采购内容等），供应商须二次报价（最终报价），</w:t>
      </w:r>
      <w:r>
        <w:rPr>
          <w:rFonts w:hint="eastAsia" w:ascii="宋体" w:hAnsi="宋体" w:cs="宋体"/>
          <w:b/>
          <w:bCs/>
          <w:sz w:val="24"/>
          <w:szCs w:val="24"/>
        </w:rPr>
        <w:t>如果供应商在规定时间</w:t>
      </w:r>
      <w:r>
        <w:rPr>
          <w:rFonts w:ascii="宋体" w:hAnsi="宋体" w:cs="宋体"/>
          <w:b/>
          <w:bCs/>
          <w:sz w:val="24"/>
          <w:szCs w:val="24"/>
        </w:rPr>
        <w:t>30</w:t>
      </w:r>
      <w:r>
        <w:rPr>
          <w:rFonts w:hint="eastAsia" w:ascii="宋体" w:hAnsi="宋体" w:cs="宋体"/>
          <w:b/>
          <w:bCs/>
          <w:sz w:val="24"/>
          <w:szCs w:val="24"/>
        </w:rPr>
        <w:t>分钟内未提交第二次报价，视该供应商放弃本次投标，作无效标处理</w:t>
      </w:r>
      <w:r>
        <w:rPr>
          <w:rFonts w:hint="eastAsia" w:ascii="宋体" w:hAnsi="宋体" w:cs="宋体"/>
          <w:sz w:val="24"/>
          <w:szCs w:val="24"/>
        </w:rPr>
        <w:t>。</w:t>
      </w:r>
    </w:p>
    <w:p>
      <w:pPr>
        <w:pStyle w:val="53"/>
        <w:tabs>
          <w:tab w:val="left" w:pos="0"/>
        </w:tabs>
        <w:spacing w:line="336" w:lineRule="auto"/>
        <w:ind w:firstLine="480"/>
        <w:rPr>
          <w:rFonts w:ascii="宋体"/>
          <w:u w:val="single"/>
        </w:rPr>
      </w:pPr>
      <w:r>
        <w:rPr>
          <w:rFonts w:ascii="宋体" w:hAnsi="宋体" w:cs="宋体"/>
          <w:u w:val="single"/>
        </w:rPr>
        <w:t>8.2.2</w:t>
      </w:r>
      <w:r>
        <w:rPr>
          <w:rFonts w:hint="eastAsia" w:ascii="宋体" w:hAnsi="宋体" w:cs="宋体"/>
          <w:u w:val="single"/>
        </w:rPr>
        <w:t>投标报价应包含项目所需全部服务，不得缺漏，是履行合同的最终价格（服务费、人工费、材料费、设备费、交通费、管理费、税费和采购代理费等一切费用）。</w:t>
      </w:r>
      <w:r>
        <w:rPr>
          <w:rFonts w:hint="eastAsia" w:cs="宋体"/>
        </w:rPr>
        <w:t>投标报价为供应商所能承受的最低、最终报价，供应商不得再要求追加任何费用。</w:t>
      </w:r>
    </w:p>
    <w:p>
      <w:pPr>
        <w:spacing w:line="336" w:lineRule="auto"/>
        <w:ind w:firstLine="480" w:firstLineChars="200"/>
        <w:rPr>
          <w:rFonts w:ascii="宋体"/>
          <w:sz w:val="24"/>
          <w:szCs w:val="24"/>
        </w:rPr>
      </w:pPr>
      <w:r>
        <w:rPr>
          <w:rFonts w:hint="eastAsia" w:ascii="宋体" w:hAnsi="宋体" w:cs="宋体"/>
          <w:sz w:val="24"/>
          <w:szCs w:val="24"/>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ascii="宋体"/>
        </w:rPr>
      </w:pPr>
      <w:r>
        <w:rPr>
          <w:rFonts w:ascii="宋体" w:hAnsi="宋体" w:cs="宋体"/>
          <w:sz w:val="24"/>
          <w:szCs w:val="24"/>
        </w:rPr>
        <w:t>8.2.3</w:t>
      </w:r>
      <w:r>
        <w:rPr>
          <w:rFonts w:hint="eastAsia" w:ascii="宋体" w:hAnsi="宋体" w:cs="宋体"/>
          <w:sz w:val="24"/>
          <w:szCs w:val="24"/>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2"/>
        <w:spacing w:line="336" w:lineRule="auto"/>
        <w:ind w:firstLine="482" w:firstLineChars="200"/>
        <w:rPr>
          <w:rFonts w:hAnsi="宋体" w:cs="Times New Roman"/>
          <w:b/>
          <w:bCs/>
          <w:sz w:val="24"/>
          <w:szCs w:val="24"/>
          <w:u w:val="single"/>
        </w:rPr>
      </w:pPr>
      <w:r>
        <w:rPr>
          <w:rFonts w:hAnsi="宋体"/>
          <w:b/>
          <w:bCs/>
          <w:sz w:val="24"/>
          <w:szCs w:val="24"/>
        </w:rPr>
        <w:t>9</w:t>
      </w:r>
      <w:r>
        <w:rPr>
          <w:rFonts w:hint="eastAsia" w:hAnsi="宋体"/>
          <w:b/>
          <w:bCs/>
          <w:sz w:val="24"/>
          <w:szCs w:val="24"/>
        </w:rPr>
        <w:t>.响应文件的组成</w:t>
      </w:r>
      <w:r>
        <w:rPr>
          <w:rFonts w:hint="eastAsia" w:hAnsi="宋体"/>
          <w:b/>
          <w:bCs/>
          <w:sz w:val="24"/>
          <w:szCs w:val="24"/>
          <w:u w:val="single"/>
        </w:rPr>
        <w:t>（供应商应根据采购文件的要求提供相应的内容且设置关联定位，供应商可查看《供应商</w:t>
      </w:r>
      <w:r>
        <w:rPr>
          <w:rFonts w:hAnsi="宋体"/>
          <w:b/>
          <w:bCs/>
          <w:sz w:val="24"/>
          <w:szCs w:val="24"/>
          <w:u w:val="single"/>
        </w:rPr>
        <w:t>-</w:t>
      </w:r>
      <w:r>
        <w:rPr>
          <w:rFonts w:hint="eastAsia" w:hAnsi="宋体"/>
          <w:b/>
          <w:bCs/>
          <w:sz w:val="24"/>
          <w:szCs w:val="24"/>
          <w:u w:val="single"/>
        </w:rPr>
        <w:t>政府采购项目电子交易操作指南》进行操作：</w:t>
      </w:r>
      <w:r>
        <w:rPr>
          <w:rFonts w:hAnsi="宋体"/>
          <w:b/>
          <w:bCs/>
          <w:sz w:val="24"/>
          <w:szCs w:val="24"/>
          <w:u w:val="single"/>
        </w:rPr>
        <w:t>https://help.zcygov.cn/web/site_2/2018/12-28/2573.html</w:t>
      </w:r>
      <w:r>
        <w:rPr>
          <w:rFonts w:hint="eastAsia" w:hAnsi="宋体"/>
          <w:b/>
          <w:bCs/>
          <w:sz w:val="24"/>
          <w:szCs w:val="24"/>
          <w:u w:val="single"/>
        </w:rPr>
        <w:t>）</w:t>
      </w:r>
    </w:p>
    <w:p>
      <w:pPr>
        <w:pStyle w:val="53"/>
        <w:tabs>
          <w:tab w:val="left" w:pos="0"/>
        </w:tabs>
        <w:spacing w:before="0" w:line="336" w:lineRule="auto"/>
        <w:ind w:firstLine="480"/>
        <w:rPr>
          <w:rFonts w:ascii="宋体"/>
        </w:rPr>
      </w:pPr>
      <w:r>
        <w:rPr>
          <w:rFonts w:hint="eastAsia" w:ascii="宋体" w:hAnsi="宋体" w:cs="宋体"/>
        </w:rPr>
        <w:t>响应文件应当包括以下主要内容：资格文件、商务技术文件、报价文件。</w:t>
      </w:r>
    </w:p>
    <w:p>
      <w:pPr>
        <w:pStyle w:val="53"/>
        <w:numPr>
          <w:ilvl w:val="0"/>
          <w:numId w:val="9"/>
        </w:numPr>
        <w:spacing w:before="0" w:line="336" w:lineRule="auto"/>
        <w:ind w:firstLine="480"/>
        <w:rPr>
          <w:rFonts w:ascii="宋体"/>
        </w:rPr>
      </w:pPr>
      <w:r>
        <w:rPr>
          <w:rFonts w:hint="eastAsia" w:ascii="宋体" w:hAnsi="宋体" w:cs="宋体"/>
        </w:rPr>
        <w:t>资格文件包括以下内容：</w:t>
      </w:r>
    </w:p>
    <w:p>
      <w:pPr>
        <w:pStyle w:val="53"/>
        <w:numPr>
          <w:ilvl w:val="0"/>
          <w:numId w:val="10"/>
        </w:numPr>
        <w:spacing w:before="0" w:line="336" w:lineRule="auto"/>
        <w:ind w:firstLine="480"/>
        <w:rPr>
          <w:rFonts w:ascii="宋体"/>
        </w:rPr>
      </w:pPr>
      <w:r>
        <w:rPr>
          <w:rFonts w:hint="eastAsia" w:ascii="宋体" w:hAnsi="宋体" w:cs="宋体"/>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53"/>
        <w:numPr>
          <w:ilvl w:val="0"/>
          <w:numId w:val="10"/>
        </w:numPr>
        <w:spacing w:before="0" w:line="336" w:lineRule="auto"/>
        <w:ind w:firstLine="480"/>
        <w:rPr>
          <w:rFonts w:hint="eastAsia" w:ascii="宋体"/>
        </w:rPr>
      </w:pPr>
      <w:r>
        <w:rPr>
          <w:rFonts w:hint="eastAsia" w:ascii="宋体" w:hAnsi="宋体" w:cs="宋体"/>
        </w:rPr>
        <w:t>营业执照</w:t>
      </w:r>
      <w:r>
        <w:rPr>
          <w:rFonts w:ascii="宋体" w:hAnsi="宋体" w:cs="宋体"/>
        </w:rPr>
        <w:t>(</w:t>
      </w:r>
      <w:r>
        <w:rPr>
          <w:rFonts w:hint="eastAsia" w:ascii="宋体" w:hAnsi="宋体" w:cs="宋体"/>
        </w:rPr>
        <w:t>或事业法人登记证或其他工商等登记证明材料</w:t>
      </w:r>
      <w:r>
        <w:rPr>
          <w:rFonts w:ascii="宋体" w:hAnsi="宋体" w:cs="宋体"/>
        </w:rPr>
        <w:t>)</w:t>
      </w:r>
      <w:r>
        <w:rPr>
          <w:rFonts w:hint="eastAsia" w:ascii="宋体" w:hAnsi="宋体" w:cs="宋体"/>
        </w:rPr>
        <w:t>复印件、税务登记证</w:t>
      </w:r>
      <w:r>
        <w:rPr>
          <w:rFonts w:ascii="宋体" w:hAnsi="宋体" w:cs="宋体"/>
        </w:rPr>
        <w:t>(</w:t>
      </w:r>
      <w:r>
        <w:rPr>
          <w:rFonts w:hint="eastAsia" w:ascii="宋体" w:hAnsi="宋体" w:cs="宋体"/>
        </w:rPr>
        <w:t>或其它缴纳证明材料</w:t>
      </w:r>
      <w:r>
        <w:rPr>
          <w:rFonts w:ascii="宋体" w:hAnsi="宋体" w:cs="宋体"/>
        </w:rPr>
        <w:t>)</w:t>
      </w:r>
      <w:r>
        <w:rPr>
          <w:rFonts w:hint="eastAsia" w:ascii="宋体" w:hAnsi="宋体" w:cs="宋体"/>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53"/>
        <w:numPr>
          <w:ilvl w:val="0"/>
          <w:numId w:val="10"/>
        </w:numPr>
        <w:spacing w:before="0" w:line="336" w:lineRule="auto"/>
        <w:ind w:firstLine="480"/>
        <w:rPr>
          <w:rFonts w:ascii="宋体"/>
        </w:rPr>
      </w:pPr>
      <w:r>
        <w:rPr>
          <w:rFonts w:hint="eastAsia" w:ascii="宋体" w:hAnsi="宋体" w:cs="宋体"/>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53"/>
        <w:numPr>
          <w:ilvl w:val="0"/>
          <w:numId w:val="10"/>
        </w:numPr>
        <w:spacing w:before="0" w:line="336" w:lineRule="auto"/>
        <w:ind w:firstLine="480"/>
        <w:rPr>
          <w:rFonts w:ascii="宋体" w:hAnsi="宋体" w:cs="宋体"/>
        </w:rPr>
      </w:pPr>
      <w:r>
        <w:rPr>
          <w:rFonts w:hint="eastAsia" w:ascii="宋体" w:hAnsi="宋体" w:cs="宋体"/>
        </w:rPr>
        <w:t>具有履行合同所必需的产品和专业技术能力的承诺函；</w:t>
      </w:r>
    </w:p>
    <w:p>
      <w:pPr>
        <w:pStyle w:val="53"/>
        <w:numPr>
          <w:ilvl w:val="0"/>
          <w:numId w:val="10"/>
        </w:numPr>
        <w:spacing w:before="0" w:line="336" w:lineRule="auto"/>
        <w:ind w:firstLine="480"/>
        <w:rPr>
          <w:rFonts w:ascii="宋体"/>
        </w:rPr>
      </w:pPr>
      <w:r>
        <w:rPr>
          <w:rFonts w:hint="eastAsia" w:ascii="宋体" w:hAnsi="宋体" w:cs="宋体"/>
        </w:rPr>
        <w:t>投标人承诺函（格式见附件）。</w:t>
      </w:r>
    </w:p>
    <w:p>
      <w:pPr>
        <w:pStyle w:val="53"/>
        <w:numPr>
          <w:ilvl w:val="0"/>
          <w:numId w:val="9"/>
        </w:numPr>
        <w:spacing w:before="0" w:line="336" w:lineRule="auto"/>
        <w:ind w:firstLine="480"/>
        <w:rPr>
          <w:rFonts w:ascii="宋体"/>
        </w:rPr>
      </w:pPr>
      <w:r>
        <w:rPr>
          <w:rFonts w:hint="eastAsia" w:ascii="宋体" w:hAnsi="宋体" w:cs="宋体"/>
        </w:rPr>
        <w:t>商务技术文件，本次磋商需要供应商提供以下项所列的技术文件：</w:t>
      </w:r>
    </w:p>
    <w:p>
      <w:pPr>
        <w:pStyle w:val="53"/>
        <w:numPr>
          <w:ilvl w:val="0"/>
          <w:numId w:val="11"/>
        </w:numPr>
        <w:spacing w:before="0" w:line="276" w:lineRule="auto"/>
        <w:ind w:firstLine="480"/>
        <w:rPr>
          <w:rFonts w:ascii="宋体"/>
        </w:rPr>
      </w:pPr>
      <w:r>
        <w:rPr>
          <w:rFonts w:hint="eastAsia" w:ascii="宋体" w:hAnsi="宋体" w:cs="宋体"/>
        </w:rPr>
        <w:t>评分对应表（格式见附件，主要用于评委对应评分内容）</w:t>
      </w:r>
    </w:p>
    <w:p>
      <w:pPr>
        <w:pStyle w:val="53"/>
        <w:numPr>
          <w:ilvl w:val="0"/>
          <w:numId w:val="11"/>
        </w:numPr>
        <w:spacing w:before="0" w:line="276" w:lineRule="auto"/>
        <w:ind w:firstLine="480"/>
        <w:rPr>
          <w:rFonts w:ascii="宋体"/>
        </w:rPr>
      </w:pPr>
      <w:r>
        <w:rPr>
          <w:rFonts w:hint="eastAsia" w:ascii="宋体" w:hAnsi="宋体" w:cs="宋体"/>
        </w:rPr>
        <w:t>供应商商务技术文件中资信分自评表（格式见附件）；</w:t>
      </w:r>
    </w:p>
    <w:p>
      <w:pPr>
        <w:pStyle w:val="53"/>
        <w:numPr>
          <w:ilvl w:val="0"/>
          <w:numId w:val="11"/>
        </w:numPr>
        <w:spacing w:before="0" w:line="276" w:lineRule="auto"/>
        <w:ind w:firstLine="480"/>
        <w:rPr>
          <w:rFonts w:ascii="宋体"/>
        </w:rPr>
      </w:pPr>
      <w:r>
        <w:rPr>
          <w:rFonts w:hint="eastAsia" w:ascii="宋体" w:hAnsi="宋体" w:cs="宋体"/>
        </w:rPr>
        <w:t>磋商项目明细清单（格式见附件）；</w:t>
      </w:r>
    </w:p>
    <w:p>
      <w:pPr>
        <w:pStyle w:val="53"/>
        <w:numPr>
          <w:ilvl w:val="0"/>
          <w:numId w:val="11"/>
        </w:numPr>
        <w:spacing w:before="0" w:line="276" w:lineRule="auto"/>
        <w:ind w:firstLine="480"/>
        <w:rPr>
          <w:rFonts w:ascii="宋体"/>
        </w:rPr>
      </w:pPr>
      <w:r>
        <w:rPr>
          <w:rFonts w:hint="eastAsia" w:ascii="宋体" w:hAnsi="宋体" w:cs="宋体"/>
        </w:rPr>
        <w:t>技术响应及建议表（格式见附件）；</w:t>
      </w:r>
    </w:p>
    <w:p>
      <w:pPr>
        <w:pStyle w:val="53"/>
        <w:numPr>
          <w:ilvl w:val="0"/>
          <w:numId w:val="11"/>
        </w:numPr>
        <w:spacing w:before="0" w:line="276" w:lineRule="auto"/>
        <w:ind w:firstLine="480"/>
        <w:rPr>
          <w:rFonts w:ascii="宋体" w:hAnsi="宋体" w:cs="宋体"/>
        </w:rPr>
      </w:pPr>
      <w:r>
        <w:rPr>
          <w:rFonts w:hint="eastAsia" w:ascii="宋体" w:hAnsi="宋体" w:cs="宋体"/>
        </w:rPr>
        <w:t>商务响应表（格式见附件）；</w:t>
      </w:r>
    </w:p>
    <w:p>
      <w:pPr>
        <w:pStyle w:val="53"/>
        <w:numPr>
          <w:ilvl w:val="0"/>
          <w:numId w:val="11"/>
        </w:numPr>
        <w:spacing w:before="0" w:line="276" w:lineRule="auto"/>
        <w:ind w:firstLine="480"/>
        <w:rPr>
          <w:rFonts w:ascii="宋体" w:hAnsi="宋体" w:cs="宋体"/>
        </w:rPr>
      </w:pPr>
      <w:r>
        <w:rPr>
          <w:rFonts w:hint="eastAsia" w:ascii="宋体" w:hAnsi="宋体" w:cs="宋体"/>
        </w:rPr>
        <w:t>项目实施方案；</w:t>
      </w:r>
    </w:p>
    <w:p>
      <w:pPr>
        <w:pStyle w:val="53"/>
        <w:numPr>
          <w:ilvl w:val="0"/>
          <w:numId w:val="11"/>
        </w:numPr>
        <w:spacing w:before="0" w:line="276" w:lineRule="auto"/>
        <w:ind w:firstLine="480"/>
        <w:rPr>
          <w:rFonts w:ascii="宋体" w:hAnsi="宋体" w:cs="宋体"/>
        </w:rPr>
      </w:pPr>
      <w:r>
        <w:rPr>
          <w:rFonts w:hint="eastAsia" w:ascii="宋体" w:hAnsi="宋体" w:cs="宋体"/>
        </w:rPr>
        <w:t>项目人员；</w:t>
      </w:r>
    </w:p>
    <w:p>
      <w:pPr>
        <w:pStyle w:val="53"/>
        <w:numPr>
          <w:ilvl w:val="0"/>
          <w:numId w:val="11"/>
        </w:numPr>
        <w:spacing w:before="0" w:line="276" w:lineRule="auto"/>
        <w:ind w:firstLine="480"/>
        <w:rPr>
          <w:rFonts w:ascii="宋体" w:hAnsi="宋体" w:cs="宋体"/>
        </w:rPr>
      </w:pPr>
      <w:r>
        <w:rPr>
          <w:rFonts w:hint="eastAsia" w:ascii="宋体" w:hAnsi="宋体" w:cs="宋体"/>
        </w:rPr>
        <w:t>数据存储服务；</w:t>
      </w:r>
    </w:p>
    <w:p>
      <w:pPr>
        <w:pStyle w:val="53"/>
        <w:numPr>
          <w:ilvl w:val="0"/>
          <w:numId w:val="11"/>
        </w:numPr>
        <w:spacing w:before="0" w:line="276" w:lineRule="auto"/>
        <w:ind w:firstLine="480"/>
        <w:rPr>
          <w:rFonts w:ascii="宋体" w:hAnsi="宋体" w:cs="宋体"/>
        </w:rPr>
      </w:pPr>
      <w:r>
        <w:rPr>
          <w:rFonts w:hint="eastAsia" w:ascii="宋体" w:hAnsi="宋体" w:cs="宋体"/>
        </w:rPr>
        <w:t>服务质量保证和承诺；</w:t>
      </w:r>
    </w:p>
    <w:p>
      <w:pPr>
        <w:pStyle w:val="53"/>
        <w:numPr>
          <w:ilvl w:val="0"/>
          <w:numId w:val="11"/>
        </w:numPr>
        <w:spacing w:before="0" w:line="276" w:lineRule="auto"/>
        <w:ind w:firstLine="480"/>
        <w:rPr>
          <w:rFonts w:ascii="宋体" w:hAnsi="宋体" w:cs="宋体"/>
        </w:rPr>
      </w:pPr>
      <w:r>
        <w:rPr>
          <w:rFonts w:hint="eastAsia" w:ascii="宋体" w:hAnsi="宋体" w:cs="宋体"/>
        </w:rPr>
        <w:t>工作进度计划及保证措施；</w:t>
      </w:r>
    </w:p>
    <w:p>
      <w:pPr>
        <w:pStyle w:val="53"/>
        <w:numPr>
          <w:ilvl w:val="0"/>
          <w:numId w:val="11"/>
        </w:numPr>
        <w:spacing w:before="0" w:line="276" w:lineRule="auto"/>
        <w:ind w:firstLine="480"/>
        <w:rPr>
          <w:rFonts w:ascii="宋体" w:hAnsi="宋体" w:cs="宋体"/>
        </w:rPr>
      </w:pPr>
      <w:r>
        <w:rPr>
          <w:rFonts w:hint="eastAsia" w:ascii="宋体" w:hAnsi="宋体" w:cs="宋体"/>
        </w:rPr>
        <w:t>培训计划；</w:t>
      </w:r>
    </w:p>
    <w:p>
      <w:pPr>
        <w:pStyle w:val="53"/>
        <w:numPr>
          <w:ilvl w:val="0"/>
          <w:numId w:val="11"/>
        </w:numPr>
        <w:spacing w:before="0" w:line="276" w:lineRule="auto"/>
        <w:ind w:firstLine="480"/>
        <w:rPr>
          <w:rFonts w:ascii="宋体" w:hAnsi="宋体" w:cs="宋体"/>
        </w:rPr>
      </w:pPr>
      <w:r>
        <w:rPr>
          <w:rFonts w:hint="eastAsia" w:ascii="宋体" w:hAnsi="宋体" w:cs="宋体"/>
        </w:rPr>
        <w:t>技术支持服务；</w:t>
      </w:r>
    </w:p>
    <w:p>
      <w:pPr>
        <w:pStyle w:val="53"/>
        <w:numPr>
          <w:ilvl w:val="0"/>
          <w:numId w:val="11"/>
        </w:numPr>
        <w:spacing w:before="0" w:line="276" w:lineRule="auto"/>
        <w:ind w:firstLine="480"/>
        <w:rPr>
          <w:rFonts w:ascii="宋体" w:hAnsi="宋体" w:cs="宋体"/>
        </w:rPr>
      </w:pPr>
      <w:r>
        <w:rPr>
          <w:rFonts w:hint="eastAsia"/>
          <w:szCs w:val="21"/>
        </w:rPr>
        <w:t>国家发明专利；</w:t>
      </w:r>
    </w:p>
    <w:p>
      <w:pPr>
        <w:pStyle w:val="53"/>
        <w:numPr>
          <w:ilvl w:val="0"/>
          <w:numId w:val="11"/>
        </w:numPr>
        <w:spacing w:before="0" w:line="276" w:lineRule="auto"/>
        <w:ind w:firstLine="480"/>
        <w:rPr>
          <w:rFonts w:ascii="宋体" w:hAnsi="宋体" w:cs="宋体"/>
        </w:rPr>
      </w:pPr>
      <w:r>
        <w:rPr>
          <w:rFonts w:hint="eastAsia"/>
          <w:szCs w:val="21"/>
        </w:rPr>
        <w:t>投标人业绩；</w:t>
      </w:r>
    </w:p>
    <w:p>
      <w:pPr>
        <w:pStyle w:val="53"/>
        <w:numPr>
          <w:ilvl w:val="0"/>
          <w:numId w:val="11"/>
        </w:numPr>
        <w:spacing w:before="0" w:line="276" w:lineRule="auto"/>
        <w:ind w:firstLine="480"/>
        <w:rPr>
          <w:rFonts w:ascii="宋体" w:hAnsi="宋体" w:cs="宋体"/>
        </w:rPr>
      </w:pPr>
      <w:r>
        <w:rPr>
          <w:rFonts w:hint="eastAsia" w:ascii="宋体" w:hAnsi="宋体" w:cs="宋体"/>
        </w:rPr>
        <w:t>投标人荣誉；</w:t>
      </w:r>
    </w:p>
    <w:p>
      <w:pPr>
        <w:pStyle w:val="53"/>
        <w:numPr>
          <w:ilvl w:val="0"/>
          <w:numId w:val="11"/>
        </w:numPr>
        <w:spacing w:before="0" w:line="276" w:lineRule="auto"/>
        <w:ind w:firstLine="480"/>
        <w:rPr>
          <w:rFonts w:ascii="宋体" w:hAnsi="宋体" w:cs="宋体"/>
        </w:rPr>
      </w:pPr>
      <w:r>
        <w:rPr>
          <w:rFonts w:hint="eastAsia" w:ascii="宋体" w:hAnsi="宋体" w:cs="宋体"/>
        </w:rPr>
        <w:t>供应商认为需要的其他文件资料。</w:t>
      </w:r>
      <w:r>
        <w:rPr>
          <w:rFonts w:ascii="宋体" w:hAnsi="宋体" w:cs="宋体"/>
        </w:rPr>
        <w:t xml:space="preserve"> </w:t>
      </w:r>
    </w:p>
    <w:p>
      <w:pPr>
        <w:pStyle w:val="53"/>
        <w:tabs>
          <w:tab w:val="left" w:pos="0"/>
        </w:tabs>
        <w:spacing w:before="0" w:line="276" w:lineRule="auto"/>
        <w:ind w:firstLine="480"/>
        <w:rPr>
          <w:rFonts w:ascii="宋体"/>
        </w:rPr>
      </w:pPr>
      <w:r>
        <w:rPr>
          <w:rFonts w:hint="eastAsia" w:ascii="宋体" w:hAnsi="宋体" w:cs="宋体"/>
        </w:rPr>
        <w:t>注：以上内容应与评标办法中内容具有一致性。</w:t>
      </w:r>
    </w:p>
    <w:p>
      <w:pPr>
        <w:pStyle w:val="53"/>
        <w:tabs>
          <w:tab w:val="left" w:pos="0"/>
        </w:tabs>
        <w:spacing w:before="0" w:line="336" w:lineRule="auto"/>
        <w:ind w:firstLine="480"/>
        <w:rPr>
          <w:rFonts w:ascii="宋体"/>
        </w:rPr>
      </w:pPr>
      <w:r>
        <w:rPr>
          <w:rFonts w:hint="eastAsia" w:ascii="宋体" w:hAnsi="宋体" w:cs="宋体"/>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53"/>
        <w:tabs>
          <w:tab w:val="left" w:pos="0"/>
        </w:tabs>
        <w:spacing w:before="0" w:line="336" w:lineRule="auto"/>
        <w:ind w:firstLine="480"/>
        <w:rPr>
          <w:rFonts w:ascii="宋体"/>
        </w:rPr>
      </w:pPr>
      <w:r>
        <w:rPr>
          <w:rFonts w:hint="eastAsia" w:ascii="宋体" w:hAnsi="宋体" w:cs="宋体"/>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53"/>
        <w:numPr>
          <w:ilvl w:val="0"/>
          <w:numId w:val="9"/>
        </w:numPr>
        <w:spacing w:before="0" w:line="336" w:lineRule="auto"/>
        <w:ind w:firstLine="480"/>
        <w:rPr>
          <w:rFonts w:ascii="宋体"/>
        </w:rPr>
      </w:pPr>
      <w:r>
        <w:rPr>
          <w:rFonts w:hint="eastAsia" w:ascii="宋体" w:hAnsi="宋体" w:cs="宋体"/>
        </w:rPr>
        <w:t>报价文件包括以下内容：</w:t>
      </w:r>
    </w:p>
    <w:p>
      <w:pPr>
        <w:pStyle w:val="53"/>
        <w:numPr>
          <w:ilvl w:val="0"/>
          <w:numId w:val="12"/>
        </w:numPr>
        <w:spacing w:before="0" w:line="336" w:lineRule="auto"/>
        <w:ind w:firstLine="480"/>
        <w:rPr>
          <w:rFonts w:ascii="宋体"/>
        </w:rPr>
      </w:pPr>
      <w:r>
        <w:rPr>
          <w:rFonts w:hint="eastAsia" w:ascii="宋体" w:hAnsi="宋体" w:cs="宋体"/>
        </w:rPr>
        <w:t>磋商函（格式见附件）；</w:t>
      </w:r>
    </w:p>
    <w:p>
      <w:pPr>
        <w:pStyle w:val="53"/>
        <w:numPr>
          <w:ilvl w:val="0"/>
          <w:numId w:val="12"/>
        </w:numPr>
        <w:spacing w:before="0" w:line="336" w:lineRule="auto"/>
        <w:ind w:firstLine="480"/>
        <w:rPr>
          <w:rFonts w:ascii="宋体"/>
        </w:rPr>
      </w:pPr>
      <w:r>
        <w:rPr>
          <w:rFonts w:hint="eastAsia" w:ascii="宋体" w:hAnsi="宋体" w:cs="宋体"/>
        </w:rPr>
        <w:t>报价一览表（格式见附件）；</w:t>
      </w:r>
    </w:p>
    <w:p>
      <w:pPr>
        <w:pStyle w:val="53"/>
        <w:numPr>
          <w:ilvl w:val="0"/>
          <w:numId w:val="12"/>
        </w:numPr>
        <w:spacing w:before="0" w:line="336" w:lineRule="auto"/>
        <w:ind w:firstLine="480"/>
        <w:rPr>
          <w:rFonts w:ascii="宋体" w:hAnsi="宋体" w:cs="宋体"/>
        </w:rPr>
      </w:pPr>
      <w:r>
        <w:rPr>
          <w:rFonts w:hint="eastAsia" w:ascii="宋体" w:hAnsi="宋体" w:cs="宋体"/>
        </w:rPr>
        <w:t>磋商报价明细表（格式见附件）。</w:t>
      </w:r>
    </w:p>
    <w:p>
      <w:pPr>
        <w:pStyle w:val="53"/>
        <w:spacing w:before="0" w:line="336" w:lineRule="auto"/>
        <w:ind w:firstLine="241" w:firstLineChars="100"/>
        <w:rPr>
          <w:rFonts w:ascii="宋体"/>
          <w:b/>
          <w:bCs/>
          <w:u w:val="single"/>
        </w:rPr>
      </w:pPr>
      <w:r>
        <w:rPr>
          <w:rFonts w:hint="eastAsia" w:ascii="宋体" w:hAnsi="宋体" w:cs="宋体"/>
          <w:b/>
          <w:bCs/>
          <w:u w:val="single"/>
        </w:rPr>
        <w:t>注：“资格文件”、“商务技术文件”、“报价文件”须分</w:t>
      </w:r>
      <w:r>
        <w:rPr>
          <w:rFonts w:ascii="宋体" w:hAnsi="宋体" w:cs="宋体"/>
          <w:b/>
          <w:bCs/>
          <w:u w:val="single"/>
        </w:rPr>
        <w:t>3</w:t>
      </w:r>
      <w:r>
        <w:rPr>
          <w:rFonts w:hint="eastAsia" w:ascii="宋体" w:hAnsi="宋体" w:cs="宋体"/>
          <w:b/>
          <w:bCs/>
          <w:u w:val="single"/>
        </w:rPr>
        <w:t>个</w:t>
      </w:r>
      <w:r>
        <w:rPr>
          <w:rFonts w:ascii="宋体" w:hAnsi="宋体" w:cs="宋体"/>
          <w:b/>
          <w:bCs/>
          <w:u w:val="single"/>
        </w:rPr>
        <w:t>PDF</w:t>
      </w:r>
      <w:r>
        <w:rPr>
          <w:rFonts w:hint="eastAsia" w:ascii="宋体" w:hAnsi="宋体" w:cs="宋体"/>
          <w:b/>
          <w:bCs/>
          <w:u w:val="single"/>
        </w:rPr>
        <w:t>格式分别导入。</w:t>
      </w:r>
    </w:p>
    <w:p>
      <w:pPr>
        <w:pStyle w:val="53"/>
        <w:spacing w:before="0" w:line="336" w:lineRule="auto"/>
        <w:ind w:left="420" w:leftChars="200" w:firstLine="0" w:firstLineChars="0"/>
        <w:rPr>
          <w:rFonts w:ascii="宋体"/>
          <w:b/>
          <w:bCs/>
        </w:rPr>
      </w:pPr>
      <w:r>
        <w:rPr>
          <w:rFonts w:ascii="宋体" w:hAnsi="宋体" w:cs="宋体"/>
          <w:b/>
          <w:bCs/>
        </w:rPr>
        <w:t>10</w:t>
      </w:r>
      <w:r>
        <w:rPr>
          <w:rFonts w:hint="eastAsia" w:ascii="宋体" w:hAnsi="宋体" w:cs="宋体"/>
          <w:b/>
          <w:bCs/>
        </w:rPr>
        <w:t>.响应文件有效期</w:t>
      </w:r>
    </w:p>
    <w:p>
      <w:pPr>
        <w:pStyle w:val="53"/>
        <w:spacing w:before="0" w:line="336" w:lineRule="auto"/>
        <w:ind w:left="420" w:leftChars="200" w:firstLine="0" w:firstLineChars="0"/>
        <w:rPr>
          <w:rFonts w:ascii="宋体"/>
        </w:rPr>
      </w:pPr>
      <w:r>
        <w:rPr>
          <w:rFonts w:ascii="宋体" w:hAnsi="宋体" w:cs="宋体"/>
        </w:rPr>
        <w:t xml:space="preserve">10.1 </w:t>
      </w:r>
      <w:r>
        <w:rPr>
          <w:rFonts w:hint="eastAsia" w:ascii="宋体" w:hAnsi="宋体" w:cs="宋体"/>
        </w:rPr>
        <w:t>响应文件未在磋商响应截止时间前完成传输的或者未按时解密的，视为放弃磋商；响应文件解密失败后未提供备份文件或者备份文件也出现异常情况无法进行评审的，亦视为放弃磋商。</w:t>
      </w:r>
    </w:p>
    <w:p>
      <w:pPr>
        <w:pStyle w:val="53"/>
        <w:spacing w:before="0" w:line="336" w:lineRule="auto"/>
        <w:ind w:left="420" w:leftChars="200" w:firstLine="0" w:firstLineChars="0"/>
        <w:rPr>
          <w:rFonts w:ascii="宋体"/>
        </w:rPr>
      </w:pPr>
      <w:r>
        <w:rPr>
          <w:rFonts w:ascii="宋体" w:hAnsi="宋体" w:cs="宋体"/>
        </w:rPr>
        <w:t xml:space="preserve">10.2 </w:t>
      </w:r>
      <w:r>
        <w:rPr>
          <w:rFonts w:hint="eastAsia" w:ascii="宋体" w:hAnsi="宋体" w:cs="宋体"/>
        </w:rPr>
        <w:t>响应文件上传后，自磋商响应截止日期起，在前附表所列的磋商响应文件有效期内有效。</w:t>
      </w:r>
    </w:p>
    <w:p>
      <w:pPr>
        <w:pStyle w:val="53"/>
        <w:spacing w:before="0" w:line="336" w:lineRule="auto"/>
        <w:ind w:left="420" w:leftChars="200" w:firstLine="0" w:firstLineChars="0"/>
        <w:rPr>
          <w:rFonts w:ascii="宋体"/>
        </w:rPr>
      </w:pPr>
      <w:r>
        <w:rPr>
          <w:rFonts w:ascii="宋体" w:hAnsi="宋体" w:cs="宋体"/>
        </w:rPr>
        <w:t xml:space="preserve">10.3 </w:t>
      </w:r>
      <w:r>
        <w:rPr>
          <w:rFonts w:hint="eastAsia" w:ascii="宋体" w:hAnsi="宋体" w:cs="宋体"/>
        </w:rPr>
        <w:t>在原定有效期满之前，如果出现特殊情况，采购代理机构可以以书面形式向磋商供应商提出延长磋商有效期的要求，磋商供应商对此须以书面形式予以答复。</w:t>
      </w:r>
    </w:p>
    <w:p>
      <w:pPr>
        <w:pStyle w:val="53"/>
        <w:spacing w:before="0" w:line="336" w:lineRule="auto"/>
        <w:ind w:left="420" w:leftChars="200" w:firstLine="0" w:firstLineChars="0"/>
        <w:rPr>
          <w:rFonts w:ascii="宋体"/>
          <w:b/>
          <w:bCs/>
        </w:rPr>
      </w:pPr>
      <w:r>
        <w:rPr>
          <w:rFonts w:ascii="宋体" w:hAnsi="宋体" w:cs="宋体"/>
          <w:b/>
          <w:bCs/>
        </w:rPr>
        <w:t>11</w:t>
      </w:r>
      <w:r>
        <w:rPr>
          <w:rFonts w:hint="eastAsia" w:ascii="宋体" w:hAnsi="宋体" w:cs="宋体"/>
          <w:b/>
          <w:bCs/>
        </w:rPr>
        <w:t>.供应商如有下列情况之一者列入不良行为记录：</w:t>
      </w:r>
    </w:p>
    <w:p>
      <w:pPr>
        <w:pStyle w:val="53"/>
        <w:spacing w:before="0" w:line="336" w:lineRule="auto"/>
        <w:ind w:left="420" w:leftChars="200" w:firstLine="0" w:firstLineChars="0"/>
        <w:rPr>
          <w:rFonts w:ascii="宋体"/>
        </w:rPr>
      </w:pPr>
      <w:r>
        <w:rPr>
          <w:rFonts w:ascii="宋体" w:hAnsi="宋体" w:cs="宋体"/>
        </w:rPr>
        <w:t xml:space="preserve">11.1 </w:t>
      </w:r>
      <w:r>
        <w:rPr>
          <w:rFonts w:hint="eastAsia" w:ascii="宋体" w:hAnsi="宋体" w:cs="宋体"/>
        </w:rPr>
        <w:t>供应商在磋商响应文件有效期内撤回投标的；</w:t>
      </w:r>
    </w:p>
    <w:p>
      <w:pPr>
        <w:pStyle w:val="53"/>
        <w:spacing w:before="0" w:line="336" w:lineRule="auto"/>
        <w:ind w:left="420" w:leftChars="200" w:firstLine="0" w:firstLineChars="0"/>
        <w:rPr>
          <w:rFonts w:ascii="宋体"/>
        </w:rPr>
      </w:pPr>
      <w:r>
        <w:rPr>
          <w:rFonts w:ascii="宋体" w:hAnsi="宋体" w:cs="宋体"/>
        </w:rPr>
        <w:t xml:space="preserve">11.2 </w:t>
      </w:r>
      <w:r>
        <w:rPr>
          <w:rFonts w:hint="eastAsia" w:ascii="宋体" w:hAnsi="宋体" w:cs="宋体"/>
        </w:rPr>
        <w:t>供应商或中标候选人放弃中标或中标候选人资格的；</w:t>
      </w:r>
    </w:p>
    <w:p>
      <w:pPr>
        <w:pStyle w:val="53"/>
        <w:spacing w:before="0" w:line="336" w:lineRule="auto"/>
        <w:ind w:left="420" w:leftChars="200" w:firstLine="0" w:firstLineChars="0"/>
        <w:rPr>
          <w:rFonts w:ascii="宋体"/>
        </w:rPr>
      </w:pPr>
      <w:r>
        <w:rPr>
          <w:rFonts w:ascii="宋体" w:hAnsi="宋体" w:cs="宋体"/>
        </w:rPr>
        <w:t xml:space="preserve">11.3 </w:t>
      </w:r>
      <w:r>
        <w:rPr>
          <w:rFonts w:hint="eastAsia" w:ascii="宋体" w:hAnsi="宋体" w:cs="宋体"/>
        </w:rPr>
        <w:t>擅自修改或拒绝接受已经确认的条款；</w:t>
      </w:r>
    </w:p>
    <w:p>
      <w:pPr>
        <w:pStyle w:val="53"/>
        <w:spacing w:before="0" w:line="336" w:lineRule="auto"/>
        <w:ind w:left="420" w:leftChars="200" w:firstLine="0" w:firstLineChars="0"/>
        <w:rPr>
          <w:rFonts w:ascii="宋体"/>
        </w:rPr>
      </w:pPr>
      <w:r>
        <w:rPr>
          <w:rFonts w:ascii="宋体" w:hAnsi="宋体" w:cs="宋体"/>
        </w:rPr>
        <w:t xml:space="preserve">11.4 </w:t>
      </w:r>
      <w:r>
        <w:rPr>
          <w:rFonts w:hint="eastAsia" w:ascii="宋体" w:hAnsi="宋体" w:cs="宋体"/>
        </w:rPr>
        <w:t>成交供应商未按规定与采购人签订合同；</w:t>
      </w:r>
    </w:p>
    <w:p>
      <w:pPr>
        <w:pStyle w:val="53"/>
        <w:spacing w:before="0" w:line="336" w:lineRule="auto"/>
        <w:ind w:left="420" w:leftChars="200" w:firstLine="0" w:firstLineChars="0"/>
        <w:rPr>
          <w:rFonts w:ascii="宋体"/>
        </w:rPr>
      </w:pPr>
      <w:r>
        <w:rPr>
          <w:rFonts w:ascii="宋体" w:hAnsi="宋体" w:cs="宋体"/>
        </w:rPr>
        <w:t>11.</w:t>
      </w:r>
      <w:r>
        <w:rPr>
          <w:rFonts w:hint="eastAsia" w:ascii="宋体" w:hAnsi="宋体" w:cs="宋体"/>
        </w:rPr>
        <w:t>5</w:t>
      </w:r>
      <w:r>
        <w:rPr>
          <w:rFonts w:ascii="宋体" w:hAnsi="宋体" w:cs="宋体"/>
        </w:rPr>
        <w:t xml:space="preserve"> </w:t>
      </w:r>
      <w:r>
        <w:rPr>
          <w:rFonts w:hint="eastAsia" w:ascii="宋体" w:hAnsi="宋体" w:cs="宋体"/>
        </w:rPr>
        <w:t>供应商采取提供虚假资料等不正当手段的；</w:t>
      </w:r>
    </w:p>
    <w:p>
      <w:pPr>
        <w:pStyle w:val="53"/>
        <w:spacing w:before="0" w:line="336" w:lineRule="auto"/>
        <w:ind w:left="420" w:leftChars="200" w:firstLine="0" w:firstLineChars="0"/>
        <w:rPr>
          <w:rFonts w:ascii="宋体"/>
        </w:rPr>
      </w:pPr>
      <w:r>
        <w:rPr>
          <w:rFonts w:ascii="宋体" w:hAnsi="宋体" w:cs="宋体"/>
        </w:rPr>
        <w:t>11.</w:t>
      </w:r>
      <w:r>
        <w:rPr>
          <w:rFonts w:hint="eastAsia" w:ascii="宋体" w:hAnsi="宋体" w:cs="宋体"/>
        </w:rPr>
        <w:t>6</w:t>
      </w:r>
      <w:r>
        <w:rPr>
          <w:rFonts w:ascii="宋体" w:hAnsi="宋体" w:cs="宋体"/>
        </w:rPr>
        <w:t xml:space="preserve"> </w:t>
      </w:r>
      <w:r>
        <w:rPr>
          <w:rFonts w:hint="eastAsia" w:ascii="宋体" w:hAnsi="宋体" w:cs="宋体"/>
        </w:rPr>
        <w:t>供应商在投标过程中串通投标的。</w:t>
      </w:r>
    </w:p>
    <w:p>
      <w:pPr>
        <w:pStyle w:val="53"/>
        <w:spacing w:before="0" w:line="336" w:lineRule="auto"/>
        <w:ind w:left="420" w:leftChars="200" w:firstLine="0" w:firstLineChars="0"/>
        <w:rPr>
          <w:rFonts w:ascii="宋体"/>
          <w:b/>
          <w:bCs/>
        </w:rPr>
      </w:pPr>
      <w:r>
        <w:rPr>
          <w:rFonts w:ascii="宋体" w:hAnsi="宋体" w:cs="宋体"/>
          <w:b/>
          <w:bCs/>
        </w:rPr>
        <w:t>12</w:t>
      </w:r>
      <w:r>
        <w:rPr>
          <w:rFonts w:hint="eastAsia" w:ascii="宋体" w:hAnsi="宋体" w:cs="宋体"/>
          <w:b/>
          <w:bCs/>
        </w:rPr>
        <w:t>.响应文件的编制和签署</w:t>
      </w:r>
    </w:p>
    <w:p>
      <w:pPr>
        <w:pStyle w:val="53"/>
        <w:spacing w:before="0" w:line="336" w:lineRule="auto"/>
        <w:ind w:left="420" w:leftChars="200" w:firstLine="0" w:firstLineChars="0"/>
        <w:rPr>
          <w:rFonts w:ascii="宋体"/>
        </w:rPr>
      </w:pPr>
      <w:r>
        <w:rPr>
          <w:rFonts w:ascii="宋体" w:hAnsi="宋体" w:cs="宋体"/>
        </w:rPr>
        <w:t xml:space="preserve">12.1 </w:t>
      </w:r>
      <w:r>
        <w:rPr>
          <w:rFonts w:hint="eastAsia" w:ascii="宋体" w:hAnsi="宋体" w:cs="宋体"/>
        </w:rPr>
        <w:t>按磋商文件</w:t>
      </w:r>
      <w:r>
        <w:rPr>
          <w:rFonts w:ascii="宋体" w:hAnsi="宋体" w:cs="宋体"/>
        </w:rPr>
        <w:t>9.1</w:t>
      </w:r>
      <w:r>
        <w:rPr>
          <w:rFonts w:hint="eastAsia" w:ascii="宋体" w:hAnsi="宋体" w:cs="宋体"/>
        </w:rPr>
        <w:t>条、</w:t>
      </w:r>
      <w:r>
        <w:rPr>
          <w:rFonts w:ascii="宋体" w:hAnsi="宋体" w:cs="宋体"/>
        </w:rPr>
        <w:t>9.2</w:t>
      </w:r>
      <w:r>
        <w:rPr>
          <w:rFonts w:hint="eastAsia" w:ascii="宋体" w:hAnsi="宋体" w:cs="宋体"/>
        </w:rPr>
        <w:t>条、</w:t>
      </w:r>
      <w:r>
        <w:rPr>
          <w:rFonts w:ascii="宋体" w:hAnsi="宋体" w:cs="宋体"/>
        </w:rPr>
        <w:t>9.3</w:t>
      </w:r>
      <w:r>
        <w:rPr>
          <w:rFonts w:hint="eastAsia" w:ascii="宋体" w:hAnsi="宋体" w:cs="宋体"/>
        </w:rPr>
        <w:t>条要求提供的各种文件，响应文件分为资格文件、商务技术文件和报价文件三部分。</w:t>
      </w:r>
    </w:p>
    <w:p>
      <w:pPr>
        <w:pStyle w:val="53"/>
        <w:spacing w:before="0" w:line="336" w:lineRule="auto"/>
        <w:ind w:left="420" w:leftChars="200" w:firstLine="0" w:firstLineChars="0"/>
        <w:rPr>
          <w:rFonts w:ascii="宋体"/>
        </w:rPr>
      </w:pPr>
      <w:r>
        <w:rPr>
          <w:rFonts w:ascii="宋体" w:hAnsi="宋体" w:cs="宋体"/>
        </w:rPr>
        <w:t xml:space="preserve">12.2 </w:t>
      </w:r>
      <w:r>
        <w:rPr>
          <w:rFonts w:hint="eastAsia" w:ascii="宋体" w:hAnsi="宋体" w:cs="宋体"/>
        </w:rPr>
        <w:t>响应文件须按附件格式要求进行电子签章，供应商应写全称。（电子磋商响应文件中所须加盖公章部分均应采用电子签章）</w:t>
      </w:r>
    </w:p>
    <w:p>
      <w:pPr>
        <w:pStyle w:val="53"/>
        <w:spacing w:before="0" w:line="336" w:lineRule="auto"/>
        <w:ind w:left="420" w:leftChars="200" w:firstLine="0" w:firstLineChars="0"/>
        <w:rPr>
          <w:rFonts w:ascii="宋体"/>
        </w:rPr>
      </w:pPr>
      <w:r>
        <w:rPr>
          <w:rFonts w:ascii="宋体" w:hAnsi="宋体" w:cs="宋体"/>
        </w:rPr>
        <w:t xml:space="preserve">12.3 </w:t>
      </w:r>
      <w:r>
        <w:rPr>
          <w:rFonts w:hint="eastAsia" w:ascii="宋体" w:hAnsi="宋体" w:cs="宋体"/>
        </w:rPr>
        <w:t>全套响应文件应无涂改和行间插字，除非这些删改是根据采购代理机构要求进行，或者是供应商造成的必须修改的错误。所修改处应由法定代表人或其授权代表签字盖章予以确认。</w:t>
      </w:r>
    </w:p>
    <w:p>
      <w:pPr>
        <w:pStyle w:val="53"/>
        <w:spacing w:before="0" w:line="336" w:lineRule="auto"/>
        <w:ind w:left="420" w:leftChars="200" w:firstLine="0" w:firstLineChars="0"/>
        <w:rPr>
          <w:rFonts w:ascii="宋体"/>
        </w:rPr>
      </w:pPr>
      <w:r>
        <w:rPr>
          <w:rFonts w:ascii="宋体" w:hAnsi="宋体" w:cs="宋体"/>
        </w:rPr>
        <w:t xml:space="preserve">12.4 </w:t>
      </w:r>
      <w:r>
        <w:rPr>
          <w:rFonts w:hint="eastAsia" w:ascii="宋体" w:hAnsi="宋体" w:cs="宋体"/>
        </w:rPr>
        <w:t>由于字迹模糊或表达不清引起的后果由供应商负责。</w:t>
      </w:r>
    </w:p>
    <w:p>
      <w:pPr>
        <w:pStyle w:val="53"/>
        <w:spacing w:before="0" w:line="336" w:lineRule="auto"/>
        <w:ind w:left="420" w:leftChars="200" w:firstLine="0" w:firstLineChars="0"/>
        <w:rPr>
          <w:rFonts w:ascii="宋体"/>
          <w:b/>
          <w:bCs/>
        </w:rPr>
      </w:pPr>
      <w:r>
        <w:rPr>
          <w:rFonts w:ascii="宋体" w:hAnsi="宋体" w:cs="宋体"/>
          <w:b/>
          <w:bCs/>
        </w:rPr>
        <w:t>13</w:t>
      </w:r>
      <w:r>
        <w:rPr>
          <w:rFonts w:hint="eastAsia" w:ascii="宋体" w:hAnsi="宋体" w:cs="宋体"/>
          <w:b/>
          <w:bCs/>
        </w:rPr>
        <w:t>.响应文件的形式</w:t>
      </w:r>
    </w:p>
    <w:p>
      <w:pPr>
        <w:pStyle w:val="53"/>
        <w:spacing w:before="0" w:line="336" w:lineRule="auto"/>
        <w:ind w:left="420" w:leftChars="200" w:firstLine="0" w:firstLineChars="0"/>
        <w:rPr>
          <w:rFonts w:ascii="宋体"/>
        </w:rPr>
      </w:pPr>
      <w:r>
        <w:rPr>
          <w:rFonts w:hint="eastAsia" w:ascii="宋体" w:hAnsi="宋体" w:cs="宋体"/>
        </w:rPr>
        <w:t>响应文件为电子磋商响应文件，电子磋商响应文件按“政采云供应商项目采购</w:t>
      </w:r>
      <w:r>
        <w:rPr>
          <w:rFonts w:ascii="宋体" w:cs="宋体"/>
        </w:rPr>
        <w:t>-</w:t>
      </w:r>
      <w:r>
        <w:rPr>
          <w:rFonts w:hint="eastAsia" w:ascii="宋体" w:hAnsi="宋体" w:cs="宋体"/>
        </w:rPr>
        <w:t>电子招投标操作指南”及本磋商文件要求制作、加密传输。</w:t>
      </w:r>
    </w:p>
    <w:p>
      <w:pPr>
        <w:pStyle w:val="4"/>
        <w:numPr>
          <w:ilvl w:val="0"/>
          <w:numId w:val="8"/>
        </w:numPr>
        <w:spacing w:line="336" w:lineRule="auto"/>
        <w:jc w:val="center"/>
        <w:rPr>
          <w:rFonts w:cs="Times New Roman"/>
        </w:rPr>
      </w:pPr>
      <w:bookmarkStart w:id="55" w:name="_Toc1420"/>
      <w:r>
        <w:t xml:space="preserve"> </w:t>
      </w:r>
      <w:bookmarkStart w:id="56" w:name="_Toc21266"/>
      <w:bookmarkStart w:id="57" w:name="_Toc6552"/>
      <w:r>
        <w:rPr>
          <w:rFonts w:hint="eastAsia"/>
        </w:rPr>
        <w:t>响应文件的递交</w:t>
      </w:r>
      <w:bookmarkEnd w:id="55"/>
      <w:bookmarkEnd w:id="56"/>
      <w:bookmarkEnd w:id="57"/>
    </w:p>
    <w:p>
      <w:pPr>
        <w:pStyle w:val="12"/>
        <w:spacing w:line="336" w:lineRule="auto"/>
        <w:ind w:left="420" w:leftChars="200"/>
        <w:rPr>
          <w:rFonts w:hAnsi="宋体" w:cs="Times New Roman"/>
          <w:b/>
          <w:bCs/>
          <w:sz w:val="24"/>
          <w:szCs w:val="24"/>
        </w:rPr>
      </w:pPr>
      <w:r>
        <w:rPr>
          <w:rFonts w:hAnsi="宋体"/>
          <w:b/>
          <w:bCs/>
          <w:sz w:val="24"/>
          <w:szCs w:val="24"/>
        </w:rPr>
        <w:t>14</w:t>
      </w:r>
      <w:r>
        <w:rPr>
          <w:rFonts w:hint="eastAsia" w:hAnsi="宋体"/>
          <w:b/>
          <w:bCs/>
          <w:sz w:val="24"/>
          <w:szCs w:val="24"/>
        </w:rPr>
        <w:t>.磋商响应截止期</w:t>
      </w:r>
    </w:p>
    <w:p>
      <w:pPr>
        <w:pStyle w:val="53"/>
        <w:numPr>
          <w:ilvl w:val="0"/>
          <w:numId w:val="13"/>
        </w:numPr>
        <w:spacing w:before="0" w:line="336" w:lineRule="auto"/>
        <w:ind w:firstLine="480"/>
        <w:rPr>
          <w:rFonts w:ascii="宋体"/>
        </w:rPr>
      </w:pPr>
      <w:r>
        <w:rPr>
          <w:rFonts w:hint="eastAsia" w:ascii="宋体" w:hAnsi="宋体" w:cs="宋体"/>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53"/>
        <w:numPr>
          <w:ilvl w:val="0"/>
          <w:numId w:val="13"/>
        </w:numPr>
        <w:spacing w:before="0" w:line="336" w:lineRule="auto"/>
        <w:ind w:firstLine="480"/>
        <w:rPr>
          <w:rFonts w:ascii="宋体"/>
        </w:rPr>
      </w:pPr>
      <w:r>
        <w:rPr>
          <w:rFonts w:hint="eastAsia" w:ascii="宋体" w:hAnsi="宋体" w:cs="宋体"/>
        </w:rPr>
        <w:t>采购人因故推迟磋商响应截止时间，将以公告形式通知。在这种情况下，采购人和供应商的权利和义务将受到新的截止时间的约束。</w:t>
      </w:r>
    </w:p>
    <w:p>
      <w:pPr>
        <w:pStyle w:val="12"/>
        <w:spacing w:line="336" w:lineRule="auto"/>
        <w:ind w:left="420" w:leftChars="200"/>
        <w:rPr>
          <w:rFonts w:hAnsi="宋体" w:cs="Times New Roman"/>
          <w:b/>
          <w:bCs/>
          <w:sz w:val="24"/>
          <w:szCs w:val="24"/>
        </w:rPr>
      </w:pPr>
      <w:r>
        <w:rPr>
          <w:rFonts w:hAnsi="宋体"/>
          <w:b/>
          <w:bCs/>
          <w:sz w:val="24"/>
          <w:szCs w:val="24"/>
        </w:rPr>
        <w:t>15</w:t>
      </w:r>
      <w:r>
        <w:rPr>
          <w:rFonts w:hint="eastAsia" w:hAnsi="宋体"/>
          <w:b/>
          <w:bCs/>
          <w:sz w:val="24"/>
          <w:szCs w:val="24"/>
        </w:rPr>
        <w:t>.响应文件的修改、撤销</w:t>
      </w:r>
    </w:p>
    <w:p>
      <w:pPr>
        <w:pStyle w:val="12"/>
        <w:spacing w:line="336" w:lineRule="auto"/>
        <w:ind w:firstLine="480" w:firstLineChars="200"/>
        <w:rPr>
          <w:rFonts w:hAnsi="宋体" w:cs="Times New Roman"/>
          <w:sz w:val="24"/>
          <w:szCs w:val="24"/>
        </w:rPr>
      </w:pPr>
      <w:r>
        <w:rPr>
          <w:rFonts w:hint="eastAsia" w:hAnsi="宋体"/>
          <w:sz w:val="24"/>
          <w:szCs w:val="24"/>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4"/>
        <w:numPr>
          <w:ilvl w:val="0"/>
          <w:numId w:val="8"/>
        </w:numPr>
        <w:spacing w:line="336" w:lineRule="auto"/>
        <w:jc w:val="center"/>
        <w:rPr>
          <w:rFonts w:hAnsi="宋体" w:cs="Times New Roman"/>
        </w:rPr>
      </w:pPr>
      <w:r>
        <w:t xml:space="preserve"> </w:t>
      </w:r>
      <w:bookmarkStart w:id="58" w:name="_Toc24120"/>
      <w:bookmarkStart w:id="59" w:name="_Toc30131"/>
      <w:r>
        <w:rPr>
          <w:rFonts w:hint="eastAsia"/>
        </w:rPr>
        <w:t>磋商无效的情形</w:t>
      </w:r>
      <w:bookmarkEnd w:id="58"/>
      <w:bookmarkEnd w:id="59"/>
    </w:p>
    <w:p>
      <w:pPr>
        <w:pStyle w:val="12"/>
        <w:snapToGrid w:val="0"/>
        <w:spacing w:line="336" w:lineRule="auto"/>
        <w:ind w:firstLine="482" w:firstLineChars="200"/>
        <w:rPr>
          <w:rFonts w:hAnsi="宋体" w:cs="Times New Roman"/>
          <w:b/>
          <w:bCs/>
          <w:sz w:val="24"/>
          <w:szCs w:val="24"/>
        </w:rPr>
      </w:pPr>
      <w:r>
        <w:rPr>
          <w:rFonts w:hAnsi="宋体"/>
          <w:b/>
          <w:bCs/>
          <w:sz w:val="24"/>
          <w:szCs w:val="24"/>
        </w:rPr>
        <w:t>16</w:t>
      </w:r>
      <w:r>
        <w:rPr>
          <w:rFonts w:hint="eastAsia" w:hAnsi="宋体"/>
          <w:b/>
          <w:bCs/>
          <w:sz w:val="24"/>
          <w:szCs w:val="24"/>
        </w:rPr>
        <w:t>.无效响应</w:t>
      </w:r>
    </w:p>
    <w:p>
      <w:pPr>
        <w:pStyle w:val="12"/>
        <w:snapToGrid w:val="0"/>
        <w:spacing w:line="336" w:lineRule="auto"/>
        <w:ind w:firstLine="480" w:firstLineChars="200"/>
        <w:rPr>
          <w:rFonts w:hAnsi="宋体" w:cs="Times New Roman"/>
          <w:sz w:val="24"/>
          <w:szCs w:val="24"/>
        </w:rPr>
      </w:pPr>
      <w:r>
        <w:rPr>
          <w:rFonts w:hint="eastAsia" w:hAnsi="宋体"/>
          <w:sz w:val="24"/>
          <w:szCs w:val="24"/>
        </w:rPr>
        <w:t>经过审查，凡不符合有关规定，不响应磋商文件的实质性条款，存在以下重大偏离之一的，经磋商小组认定，并由采购人报采购办、监督办备案，将因未通过资格性或符合性审查而被作为无效响应处理：</w:t>
      </w:r>
    </w:p>
    <w:p>
      <w:pPr>
        <w:snapToGrid w:val="0"/>
        <w:spacing w:line="336" w:lineRule="auto"/>
        <w:ind w:firstLine="482" w:firstLineChars="200"/>
        <w:rPr>
          <w:rFonts w:ascii="宋体"/>
          <w:b/>
          <w:bCs/>
          <w:sz w:val="24"/>
          <w:szCs w:val="24"/>
        </w:rPr>
      </w:pPr>
      <w:r>
        <w:rPr>
          <w:rFonts w:ascii="宋体" w:hAnsi="宋体" w:cs="宋体"/>
          <w:b/>
          <w:bCs/>
          <w:sz w:val="24"/>
          <w:szCs w:val="24"/>
        </w:rPr>
        <w:t>16.1</w:t>
      </w:r>
      <w:r>
        <w:rPr>
          <w:rFonts w:hint="eastAsia" w:ascii="宋体" w:hAnsi="宋体" w:cs="宋体"/>
          <w:b/>
          <w:bCs/>
          <w:sz w:val="24"/>
          <w:szCs w:val="24"/>
        </w:rPr>
        <w:t>未按照磋商文件规定要求签署、盖章的；</w:t>
      </w:r>
    </w:p>
    <w:p>
      <w:pPr>
        <w:snapToGrid w:val="0"/>
        <w:spacing w:line="336" w:lineRule="auto"/>
        <w:ind w:firstLine="482" w:firstLineChars="200"/>
        <w:rPr>
          <w:rFonts w:ascii="宋体"/>
          <w:b/>
          <w:bCs/>
          <w:sz w:val="24"/>
          <w:szCs w:val="24"/>
        </w:rPr>
      </w:pPr>
      <w:r>
        <w:rPr>
          <w:rFonts w:ascii="宋体" w:hAnsi="宋体" w:cs="宋体"/>
          <w:b/>
          <w:bCs/>
          <w:sz w:val="24"/>
          <w:szCs w:val="24"/>
        </w:rPr>
        <w:t>16.2</w:t>
      </w:r>
      <w:r>
        <w:rPr>
          <w:rFonts w:hint="eastAsia" w:ascii="宋体" w:hAnsi="宋体" w:cs="宋体"/>
          <w:b/>
          <w:bCs/>
          <w:sz w:val="24"/>
          <w:szCs w:val="24"/>
        </w:rPr>
        <w:t>《法定代表人授权书》填写不全、错误、未加盖供应商公章（公章和签字或盖章缺一不可）；</w:t>
      </w:r>
      <w:r>
        <w:rPr>
          <w:rFonts w:ascii="宋体" w:hAnsi="宋体" w:cs="宋体"/>
          <w:b/>
          <w:bCs/>
          <w:sz w:val="24"/>
          <w:szCs w:val="24"/>
        </w:rPr>
        <w:t xml:space="preserve"> </w:t>
      </w:r>
    </w:p>
    <w:p>
      <w:pPr>
        <w:snapToGrid w:val="0"/>
        <w:spacing w:line="336" w:lineRule="auto"/>
        <w:ind w:firstLine="482" w:firstLineChars="200"/>
        <w:rPr>
          <w:rFonts w:ascii="宋体"/>
          <w:b/>
          <w:bCs/>
          <w:sz w:val="24"/>
          <w:szCs w:val="24"/>
        </w:rPr>
      </w:pPr>
      <w:r>
        <w:rPr>
          <w:rFonts w:ascii="宋体" w:hAnsi="宋体" w:cs="宋体"/>
          <w:b/>
          <w:bCs/>
          <w:sz w:val="24"/>
          <w:szCs w:val="24"/>
        </w:rPr>
        <w:t>16.3</w:t>
      </w:r>
      <w:r>
        <w:rPr>
          <w:rFonts w:hint="eastAsia" w:ascii="宋体" w:hAnsi="宋体" w:cs="宋体"/>
          <w:b/>
          <w:bCs/>
          <w:sz w:val="24"/>
          <w:szCs w:val="24"/>
        </w:rPr>
        <w:t>个体工商户的身份证明与营业执照不一致的；</w:t>
      </w:r>
    </w:p>
    <w:p>
      <w:pPr>
        <w:snapToGrid w:val="0"/>
        <w:spacing w:line="336" w:lineRule="auto"/>
        <w:ind w:firstLine="482" w:firstLineChars="200"/>
        <w:rPr>
          <w:rFonts w:ascii="宋体"/>
          <w:b/>
          <w:bCs/>
          <w:sz w:val="24"/>
          <w:szCs w:val="24"/>
        </w:rPr>
      </w:pPr>
      <w:r>
        <w:rPr>
          <w:rFonts w:ascii="宋体" w:hAnsi="宋体" w:cs="宋体"/>
          <w:b/>
          <w:bCs/>
          <w:sz w:val="24"/>
          <w:szCs w:val="24"/>
        </w:rPr>
        <w:t>16.4</w:t>
      </w:r>
      <w:r>
        <w:rPr>
          <w:rFonts w:hint="eastAsia" w:ascii="宋体" w:hAnsi="宋体" w:cs="宋体"/>
          <w:b/>
          <w:bCs/>
          <w:sz w:val="24"/>
          <w:szCs w:val="24"/>
        </w:rPr>
        <w:t>响应文件中的磋商函未加盖供应商的企业公章或填写不全的；</w:t>
      </w:r>
    </w:p>
    <w:p>
      <w:pPr>
        <w:snapToGrid w:val="0"/>
        <w:spacing w:line="336" w:lineRule="auto"/>
        <w:ind w:firstLine="482" w:firstLineChars="200"/>
        <w:rPr>
          <w:rFonts w:ascii="宋体"/>
          <w:b/>
          <w:bCs/>
          <w:sz w:val="24"/>
          <w:szCs w:val="24"/>
        </w:rPr>
      </w:pPr>
      <w:r>
        <w:rPr>
          <w:rFonts w:ascii="宋体" w:hAnsi="宋体" w:cs="宋体"/>
          <w:b/>
          <w:bCs/>
          <w:sz w:val="24"/>
          <w:szCs w:val="24"/>
        </w:rPr>
        <w:t>16.5</w:t>
      </w:r>
      <w:r>
        <w:rPr>
          <w:rFonts w:hint="eastAsia" w:ascii="宋体" w:hAnsi="宋体" w:cs="宋体"/>
          <w:b/>
          <w:bCs/>
          <w:sz w:val="24"/>
          <w:szCs w:val="24"/>
        </w:rPr>
        <w:t>报价一经涂改，未在涂改处加盖投标单位公章或者未经法定代表人或其授权代表签字或盖章的；</w:t>
      </w:r>
    </w:p>
    <w:p>
      <w:pPr>
        <w:snapToGrid w:val="0"/>
        <w:spacing w:line="336" w:lineRule="auto"/>
        <w:ind w:firstLine="482" w:firstLineChars="200"/>
        <w:rPr>
          <w:rFonts w:ascii="宋体"/>
          <w:b/>
          <w:bCs/>
          <w:sz w:val="24"/>
          <w:szCs w:val="24"/>
        </w:rPr>
      </w:pPr>
      <w:r>
        <w:rPr>
          <w:rFonts w:ascii="宋体" w:hAnsi="宋体" w:cs="宋体"/>
          <w:b/>
          <w:bCs/>
          <w:sz w:val="24"/>
          <w:szCs w:val="24"/>
        </w:rPr>
        <w:t>16.6</w:t>
      </w:r>
      <w:r>
        <w:rPr>
          <w:rFonts w:hint="eastAsia" w:ascii="宋体" w:hAnsi="宋体" w:cs="宋体"/>
          <w:b/>
          <w:bCs/>
          <w:sz w:val="24"/>
          <w:szCs w:val="24"/>
        </w:rPr>
        <w:t>因未按规定的格式填写，内容不全或主要实质性内容字迹模糊辨认不清</w:t>
      </w:r>
      <w:r>
        <w:rPr>
          <w:rFonts w:ascii="宋体" w:cs="宋体"/>
          <w:b/>
          <w:bCs/>
          <w:sz w:val="24"/>
          <w:szCs w:val="24"/>
        </w:rPr>
        <w:t>,</w:t>
      </w:r>
      <w:r>
        <w:rPr>
          <w:rFonts w:hint="eastAsia" w:ascii="宋体" w:hAnsi="宋体" w:cs="宋体"/>
          <w:b/>
          <w:bCs/>
          <w:sz w:val="24"/>
          <w:szCs w:val="24"/>
        </w:rPr>
        <w:t>经评标委员会认定为无法评审的；</w:t>
      </w:r>
    </w:p>
    <w:p>
      <w:pPr>
        <w:snapToGrid w:val="0"/>
        <w:spacing w:line="336" w:lineRule="auto"/>
        <w:ind w:firstLine="482" w:firstLineChars="200"/>
        <w:rPr>
          <w:rFonts w:ascii="宋体"/>
          <w:b/>
          <w:bCs/>
          <w:sz w:val="24"/>
          <w:szCs w:val="24"/>
        </w:rPr>
      </w:pPr>
      <w:r>
        <w:rPr>
          <w:rFonts w:ascii="宋体" w:hAnsi="宋体" w:cs="宋体"/>
          <w:b/>
          <w:bCs/>
          <w:sz w:val="24"/>
          <w:szCs w:val="24"/>
        </w:rPr>
        <w:t>16.7</w:t>
      </w:r>
      <w:r>
        <w:rPr>
          <w:rFonts w:hint="eastAsia" w:ascii="宋体" w:hAnsi="宋体" w:cs="宋体"/>
          <w:b/>
          <w:bCs/>
          <w:sz w:val="24"/>
          <w:szCs w:val="24"/>
        </w:rPr>
        <w:t>出现同一标的物或本次采购产品</w:t>
      </w:r>
      <w:r>
        <w:rPr>
          <w:rFonts w:ascii="宋体" w:hAnsi="宋体" w:cs="宋体"/>
          <w:b/>
          <w:bCs/>
          <w:sz w:val="24"/>
          <w:szCs w:val="24"/>
        </w:rPr>
        <w:t>(</w:t>
      </w:r>
      <w:r>
        <w:rPr>
          <w:rFonts w:hint="eastAsia" w:ascii="宋体" w:hAnsi="宋体" w:cs="宋体"/>
          <w:b/>
          <w:bCs/>
          <w:sz w:val="24"/>
          <w:szCs w:val="24"/>
        </w:rPr>
        <w:t>服务</w:t>
      </w:r>
      <w:r>
        <w:rPr>
          <w:rFonts w:ascii="宋体" w:hAnsi="宋体" w:cs="宋体"/>
          <w:b/>
          <w:bCs/>
          <w:sz w:val="24"/>
          <w:szCs w:val="24"/>
        </w:rPr>
        <w:t>)</w:t>
      </w:r>
      <w:r>
        <w:rPr>
          <w:rFonts w:hint="eastAsia" w:ascii="宋体" w:hAnsi="宋体" w:cs="宋体"/>
          <w:b/>
          <w:bCs/>
          <w:sz w:val="24"/>
          <w:szCs w:val="24"/>
        </w:rPr>
        <w:t>内的主要产品</w:t>
      </w:r>
      <w:r>
        <w:rPr>
          <w:rFonts w:ascii="宋体" w:hAnsi="宋体" w:cs="宋体"/>
          <w:b/>
          <w:bCs/>
          <w:sz w:val="24"/>
          <w:szCs w:val="24"/>
        </w:rPr>
        <w:t>(</w:t>
      </w:r>
      <w:r>
        <w:rPr>
          <w:rFonts w:hint="eastAsia" w:ascii="宋体" w:hAnsi="宋体" w:cs="宋体"/>
          <w:b/>
          <w:bCs/>
          <w:sz w:val="24"/>
          <w:szCs w:val="24"/>
        </w:rPr>
        <w:t>重要组成部分</w:t>
      </w:r>
      <w:r>
        <w:rPr>
          <w:rFonts w:ascii="宋体" w:hAnsi="宋体" w:cs="宋体"/>
          <w:b/>
          <w:bCs/>
          <w:sz w:val="24"/>
          <w:szCs w:val="24"/>
        </w:rPr>
        <w:t>)</w:t>
      </w:r>
      <w:r>
        <w:rPr>
          <w:rFonts w:hint="eastAsia" w:ascii="宋体" w:hAnsi="宋体" w:cs="宋体"/>
          <w:b/>
          <w:bCs/>
          <w:sz w:val="24"/>
          <w:szCs w:val="24"/>
        </w:rPr>
        <w:t>出现技术、商务描述不一致或前后描述不一致，经评标委员会认定后为无法评审的；</w:t>
      </w:r>
    </w:p>
    <w:p>
      <w:pPr>
        <w:snapToGrid w:val="0"/>
        <w:spacing w:line="336" w:lineRule="auto"/>
        <w:ind w:firstLine="482" w:firstLineChars="200"/>
        <w:rPr>
          <w:rFonts w:ascii="宋体"/>
          <w:b/>
          <w:bCs/>
          <w:sz w:val="24"/>
          <w:szCs w:val="24"/>
        </w:rPr>
      </w:pPr>
      <w:r>
        <w:rPr>
          <w:rFonts w:ascii="宋体" w:hAnsi="宋体" w:cs="宋体"/>
          <w:b/>
          <w:bCs/>
          <w:sz w:val="24"/>
          <w:szCs w:val="24"/>
        </w:rPr>
        <w:t>16.8</w:t>
      </w:r>
      <w:r>
        <w:rPr>
          <w:rFonts w:hint="eastAsia" w:ascii="宋体" w:hAnsi="宋体" w:cs="宋体"/>
          <w:b/>
          <w:bCs/>
          <w:sz w:val="24"/>
          <w:szCs w:val="24"/>
        </w:rPr>
        <w:t>响应详细配置清单响应表不真实填写或弄虚作假的；改变磋商文件提供的清单中的计量单位、工程数量；</w:t>
      </w:r>
    </w:p>
    <w:p>
      <w:pPr>
        <w:snapToGrid w:val="0"/>
        <w:spacing w:line="336" w:lineRule="auto"/>
        <w:ind w:firstLine="482" w:firstLineChars="200"/>
        <w:rPr>
          <w:rFonts w:ascii="宋体"/>
          <w:b/>
          <w:bCs/>
          <w:sz w:val="24"/>
          <w:szCs w:val="24"/>
        </w:rPr>
      </w:pPr>
      <w:r>
        <w:rPr>
          <w:rFonts w:ascii="宋体" w:hAnsi="宋体" w:cs="宋体"/>
          <w:b/>
          <w:bCs/>
          <w:sz w:val="24"/>
          <w:szCs w:val="24"/>
        </w:rPr>
        <w:t>16.9</w:t>
      </w:r>
      <w:r>
        <w:rPr>
          <w:rFonts w:hint="eastAsia" w:ascii="宋体" w:hAnsi="宋体" w:cs="宋体"/>
          <w:b/>
          <w:bCs/>
          <w:sz w:val="24"/>
          <w:szCs w:val="24"/>
        </w:rPr>
        <w:t>对采购产品技术规格未详细应答，致使其技术文件无法评审的；</w:t>
      </w:r>
    </w:p>
    <w:p>
      <w:pPr>
        <w:snapToGrid w:val="0"/>
        <w:spacing w:line="336" w:lineRule="auto"/>
        <w:ind w:firstLine="482" w:firstLineChars="200"/>
        <w:rPr>
          <w:rFonts w:ascii="宋体"/>
          <w:b/>
          <w:bCs/>
          <w:sz w:val="24"/>
          <w:szCs w:val="24"/>
        </w:rPr>
      </w:pPr>
      <w:r>
        <w:rPr>
          <w:rFonts w:ascii="宋体" w:hAnsi="宋体" w:cs="宋体"/>
          <w:b/>
          <w:bCs/>
          <w:sz w:val="24"/>
          <w:szCs w:val="24"/>
        </w:rPr>
        <w:t>16.10</w:t>
      </w:r>
      <w:r>
        <w:rPr>
          <w:rFonts w:hint="eastAsia" w:ascii="宋体" w:hAnsi="宋体" w:cs="宋体"/>
          <w:b/>
          <w:bCs/>
          <w:sz w:val="24"/>
          <w:szCs w:val="24"/>
        </w:rPr>
        <w:t>响应文件有采购方不能接受的条件；</w:t>
      </w:r>
    </w:p>
    <w:p>
      <w:pPr>
        <w:snapToGrid w:val="0"/>
        <w:spacing w:line="336" w:lineRule="auto"/>
        <w:ind w:firstLine="482" w:firstLineChars="200"/>
        <w:rPr>
          <w:rFonts w:ascii="宋体"/>
          <w:b/>
          <w:bCs/>
          <w:sz w:val="24"/>
          <w:szCs w:val="24"/>
        </w:rPr>
      </w:pPr>
      <w:r>
        <w:rPr>
          <w:rFonts w:ascii="宋体" w:hAnsi="宋体" w:cs="宋体"/>
          <w:b/>
          <w:bCs/>
          <w:sz w:val="24"/>
          <w:szCs w:val="24"/>
        </w:rPr>
        <w:t>16.11</w:t>
      </w:r>
      <w:r>
        <w:rPr>
          <w:rFonts w:hint="eastAsia" w:ascii="宋体" w:hAnsi="宋体" w:cs="宋体"/>
          <w:b/>
          <w:bCs/>
          <w:sz w:val="24"/>
          <w:szCs w:val="24"/>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napToGrid w:val="0"/>
        <w:spacing w:line="336" w:lineRule="auto"/>
        <w:ind w:firstLine="482" w:firstLineChars="200"/>
        <w:rPr>
          <w:rFonts w:ascii="宋体"/>
          <w:b/>
          <w:bCs/>
          <w:sz w:val="24"/>
          <w:szCs w:val="24"/>
        </w:rPr>
      </w:pPr>
      <w:r>
        <w:rPr>
          <w:rFonts w:ascii="宋体" w:hAnsi="宋体" w:cs="宋体"/>
          <w:b/>
          <w:bCs/>
          <w:sz w:val="24"/>
          <w:szCs w:val="24"/>
        </w:rPr>
        <w:t>16.12</w:t>
      </w:r>
      <w:r>
        <w:rPr>
          <w:rFonts w:hint="eastAsia" w:ascii="宋体" w:hAnsi="宋体" w:cs="宋体"/>
          <w:b/>
          <w:bCs/>
          <w:sz w:val="24"/>
          <w:szCs w:val="24"/>
        </w:rPr>
        <w:t>磋商报价超过预算金额或最高限价的；</w:t>
      </w:r>
    </w:p>
    <w:p>
      <w:pPr>
        <w:snapToGrid w:val="0"/>
        <w:spacing w:line="336" w:lineRule="auto"/>
        <w:ind w:firstLine="482" w:firstLineChars="200"/>
        <w:rPr>
          <w:rFonts w:ascii="宋体"/>
          <w:b/>
          <w:bCs/>
          <w:sz w:val="24"/>
          <w:szCs w:val="24"/>
        </w:rPr>
      </w:pPr>
      <w:r>
        <w:rPr>
          <w:rFonts w:ascii="宋体" w:hAnsi="宋体" w:cs="宋体"/>
          <w:b/>
          <w:bCs/>
          <w:sz w:val="24"/>
          <w:szCs w:val="24"/>
        </w:rPr>
        <w:t>16.13</w:t>
      </w:r>
      <w:r>
        <w:rPr>
          <w:rFonts w:hint="eastAsia" w:ascii="宋体" w:hAnsi="宋体" w:cs="宋体"/>
          <w:b/>
          <w:bCs/>
          <w:sz w:val="24"/>
          <w:szCs w:val="24"/>
        </w:rPr>
        <w:t>响应文件“商务技术文件资料”部分中出现《报价一览表》或《磋商报价明细表》相关内容的；</w:t>
      </w:r>
    </w:p>
    <w:p>
      <w:pPr>
        <w:snapToGrid w:val="0"/>
        <w:spacing w:line="336" w:lineRule="auto"/>
        <w:ind w:firstLine="482" w:firstLineChars="200"/>
        <w:rPr>
          <w:rFonts w:ascii="宋体"/>
          <w:b/>
          <w:bCs/>
          <w:sz w:val="24"/>
          <w:szCs w:val="24"/>
        </w:rPr>
      </w:pPr>
      <w:r>
        <w:rPr>
          <w:rFonts w:ascii="宋体" w:hAnsi="宋体" w:cs="宋体"/>
          <w:b/>
          <w:bCs/>
          <w:sz w:val="24"/>
          <w:szCs w:val="24"/>
        </w:rPr>
        <w:t>16.14</w:t>
      </w:r>
      <w:r>
        <w:rPr>
          <w:rFonts w:hint="eastAsia" w:ascii="宋体" w:hAnsi="宋体" w:cs="宋体"/>
          <w:b/>
          <w:bCs/>
          <w:sz w:val="24"/>
          <w:szCs w:val="24"/>
        </w:rPr>
        <w:t>评标委员会认定有重大偏差或实质性不响应磋商文件要求的，即“★”的关键性指标及技术参数要求负偏离或缺漏；</w:t>
      </w:r>
    </w:p>
    <w:p>
      <w:pPr>
        <w:snapToGrid w:val="0"/>
        <w:spacing w:line="336" w:lineRule="auto"/>
        <w:ind w:firstLine="482" w:firstLineChars="200"/>
        <w:rPr>
          <w:rFonts w:ascii="宋体"/>
          <w:b/>
          <w:bCs/>
          <w:sz w:val="24"/>
          <w:szCs w:val="24"/>
        </w:rPr>
      </w:pPr>
      <w:r>
        <w:rPr>
          <w:rFonts w:ascii="宋体" w:hAnsi="宋体" w:cs="宋体"/>
          <w:b/>
          <w:bCs/>
          <w:sz w:val="24"/>
          <w:szCs w:val="24"/>
        </w:rPr>
        <w:t>16.15</w:t>
      </w:r>
      <w:r>
        <w:rPr>
          <w:rFonts w:hint="eastAsia" w:ascii="宋体" w:hAnsi="宋体" w:cs="宋体"/>
          <w:b/>
          <w:bCs/>
          <w:sz w:val="24"/>
          <w:szCs w:val="24"/>
        </w:rPr>
        <w:t>供应商拒绝按磋商文件规定的修正原则对响应文件进行修改的；</w:t>
      </w:r>
    </w:p>
    <w:p>
      <w:pPr>
        <w:snapToGrid w:val="0"/>
        <w:spacing w:line="336" w:lineRule="auto"/>
        <w:ind w:firstLine="482" w:firstLineChars="200"/>
        <w:rPr>
          <w:rFonts w:ascii="宋体"/>
          <w:b/>
          <w:bCs/>
          <w:sz w:val="24"/>
          <w:szCs w:val="24"/>
        </w:rPr>
      </w:pPr>
      <w:r>
        <w:rPr>
          <w:rFonts w:ascii="宋体" w:hAnsi="宋体" w:cs="宋体"/>
          <w:b/>
          <w:bCs/>
          <w:sz w:val="24"/>
          <w:szCs w:val="24"/>
        </w:rPr>
        <w:t>16.16</w:t>
      </w:r>
      <w:r>
        <w:rPr>
          <w:rFonts w:hint="eastAsia" w:ascii="宋体" w:hAnsi="宋体" w:cs="宋体"/>
          <w:b/>
          <w:bCs/>
          <w:sz w:val="24"/>
          <w:szCs w:val="24"/>
        </w:rPr>
        <w:t>有下列情形之一的，视为供应商串通投标，其投标无效：</w:t>
      </w:r>
    </w:p>
    <w:p>
      <w:pPr>
        <w:snapToGrid w:val="0"/>
        <w:spacing w:line="336" w:lineRule="auto"/>
        <w:ind w:firstLine="482" w:firstLineChars="200"/>
        <w:rPr>
          <w:rFonts w:ascii="宋体"/>
          <w:b/>
          <w:bCs/>
          <w:sz w:val="24"/>
          <w:szCs w:val="24"/>
        </w:rPr>
      </w:pPr>
      <w:r>
        <w:rPr>
          <w:rFonts w:ascii="宋体" w:hAnsi="宋体" w:cs="宋体"/>
          <w:b/>
          <w:bCs/>
          <w:sz w:val="24"/>
          <w:szCs w:val="24"/>
        </w:rPr>
        <w:t>16.16.1</w:t>
      </w:r>
      <w:r>
        <w:rPr>
          <w:rFonts w:hint="eastAsia" w:ascii="宋体" w:hAnsi="宋体" w:cs="宋体"/>
          <w:b/>
          <w:bCs/>
          <w:sz w:val="24"/>
          <w:szCs w:val="24"/>
        </w:rPr>
        <w:t>不同供应商的响应文件由同一单位或者个人编制；</w:t>
      </w:r>
    </w:p>
    <w:p>
      <w:pPr>
        <w:snapToGrid w:val="0"/>
        <w:spacing w:line="336" w:lineRule="auto"/>
        <w:ind w:firstLine="482" w:firstLineChars="200"/>
        <w:rPr>
          <w:rFonts w:ascii="宋体"/>
          <w:b/>
          <w:bCs/>
          <w:sz w:val="24"/>
          <w:szCs w:val="24"/>
        </w:rPr>
      </w:pPr>
      <w:r>
        <w:rPr>
          <w:rFonts w:ascii="宋体" w:hAnsi="宋体" w:cs="宋体"/>
          <w:b/>
          <w:bCs/>
          <w:sz w:val="24"/>
          <w:szCs w:val="24"/>
        </w:rPr>
        <w:t>16.16.2</w:t>
      </w:r>
      <w:r>
        <w:rPr>
          <w:rFonts w:hint="eastAsia" w:ascii="宋体" w:hAnsi="宋体" w:cs="宋体"/>
          <w:b/>
          <w:bCs/>
          <w:sz w:val="24"/>
          <w:szCs w:val="24"/>
        </w:rPr>
        <w:t>不同供应商委托同一单位或者个人办理投标事宜；</w:t>
      </w:r>
    </w:p>
    <w:p>
      <w:pPr>
        <w:snapToGrid w:val="0"/>
        <w:spacing w:line="336" w:lineRule="auto"/>
        <w:ind w:firstLine="482" w:firstLineChars="200"/>
        <w:rPr>
          <w:rFonts w:ascii="宋体"/>
          <w:b/>
          <w:bCs/>
          <w:sz w:val="24"/>
          <w:szCs w:val="24"/>
        </w:rPr>
      </w:pPr>
      <w:r>
        <w:rPr>
          <w:rFonts w:ascii="宋体" w:hAnsi="宋体" w:cs="宋体"/>
          <w:b/>
          <w:bCs/>
          <w:sz w:val="24"/>
          <w:szCs w:val="24"/>
        </w:rPr>
        <w:t>16.16.3</w:t>
      </w:r>
      <w:r>
        <w:rPr>
          <w:rFonts w:hint="eastAsia" w:ascii="宋体" w:hAnsi="宋体" w:cs="宋体"/>
          <w:b/>
          <w:bCs/>
          <w:sz w:val="24"/>
          <w:szCs w:val="24"/>
        </w:rPr>
        <w:t>不同供应商的响应文件载明的项目管理成员或者联系人员为同一人；</w:t>
      </w:r>
    </w:p>
    <w:p>
      <w:pPr>
        <w:snapToGrid w:val="0"/>
        <w:spacing w:line="336" w:lineRule="auto"/>
        <w:ind w:firstLine="482" w:firstLineChars="200"/>
        <w:rPr>
          <w:rFonts w:ascii="宋体"/>
          <w:b/>
          <w:bCs/>
          <w:sz w:val="24"/>
          <w:szCs w:val="24"/>
        </w:rPr>
      </w:pPr>
      <w:r>
        <w:rPr>
          <w:rFonts w:ascii="宋体" w:hAnsi="宋体" w:cs="宋体"/>
          <w:b/>
          <w:bCs/>
          <w:sz w:val="24"/>
          <w:szCs w:val="24"/>
        </w:rPr>
        <w:t>16.16.4</w:t>
      </w:r>
      <w:r>
        <w:rPr>
          <w:rFonts w:hint="eastAsia" w:ascii="宋体" w:hAnsi="宋体" w:cs="宋体"/>
          <w:b/>
          <w:bCs/>
          <w:sz w:val="24"/>
          <w:szCs w:val="24"/>
        </w:rPr>
        <w:t>不同供应商的响应文件异常一致或者投标报价呈规律性差异；</w:t>
      </w:r>
    </w:p>
    <w:p>
      <w:pPr>
        <w:snapToGrid w:val="0"/>
        <w:spacing w:line="336" w:lineRule="auto"/>
        <w:ind w:firstLine="482" w:firstLineChars="200"/>
        <w:rPr>
          <w:rFonts w:ascii="宋体" w:hAnsi="宋体" w:cs="宋体"/>
          <w:b/>
          <w:bCs/>
          <w:sz w:val="24"/>
          <w:szCs w:val="24"/>
        </w:rPr>
      </w:pPr>
      <w:r>
        <w:rPr>
          <w:rFonts w:ascii="宋体" w:hAnsi="宋体" w:cs="宋体"/>
          <w:b/>
          <w:bCs/>
          <w:sz w:val="24"/>
          <w:szCs w:val="24"/>
        </w:rPr>
        <w:t>16.16.5</w:t>
      </w:r>
      <w:r>
        <w:rPr>
          <w:rFonts w:hint="eastAsia" w:ascii="宋体" w:hAnsi="宋体" w:cs="宋体"/>
          <w:b/>
          <w:bCs/>
          <w:sz w:val="24"/>
          <w:szCs w:val="24"/>
        </w:rPr>
        <w:t>不同供应商提供的响应文件出自同一终端设备的，或在相同</w:t>
      </w:r>
      <w:r>
        <w:rPr>
          <w:rFonts w:ascii="宋体" w:hAnsi="宋体" w:cs="宋体"/>
          <w:b/>
          <w:bCs/>
          <w:sz w:val="24"/>
          <w:szCs w:val="24"/>
        </w:rPr>
        <w:t>Internet</w:t>
      </w:r>
      <w:r>
        <w:rPr>
          <w:rFonts w:hint="eastAsia" w:ascii="宋体" w:hAnsi="宋体" w:cs="宋体"/>
          <w:b/>
          <w:bCs/>
          <w:sz w:val="24"/>
          <w:szCs w:val="24"/>
        </w:rPr>
        <w:t>主机分配地址（相同</w:t>
      </w:r>
      <w:r>
        <w:rPr>
          <w:rFonts w:ascii="宋体" w:hAnsi="宋体" w:cs="宋体"/>
          <w:b/>
          <w:bCs/>
          <w:sz w:val="24"/>
          <w:szCs w:val="24"/>
        </w:rPr>
        <w:t>IP</w:t>
      </w:r>
      <w:r>
        <w:rPr>
          <w:rFonts w:hint="eastAsia" w:ascii="宋体" w:hAnsi="宋体" w:cs="宋体"/>
          <w:b/>
          <w:bCs/>
          <w:sz w:val="24"/>
          <w:szCs w:val="24"/>
        </w:rPr>
        <w:t>地址）报名或网上投标的，且经询标澄清供应商无令人信服的理由和可靠证据证明其合理性的，经评标委员会半数以上成员确认有串通投标嫌疑的。</w:t>
      </w:r>
    </w:p>
    <w:p>
      <w:pPr>
        <w:tabs>
          <w:tab w:val="left" w:pos="3870"/>
          <w:tab w:val="left" w:pos="4085"/>
        </w:tabs>
        <w:snapToGrid w:val="0"/>
        <w:spacing w:line="336" w:lineRule="auto"/>
        <w:ind w:firstLine="482" w:firstLineChars="200"/>
        <w:jc w:val="left"/>
        <w:rPr>
          <w:rFonts w:ascii="宋体" w:hAnsi="宋体" w:cs="宋体"/>
          <w:b/>
          <w:bCs/>
          <w:sz w:val="24"/>
          <w:szCs w:val="24"/>
        </w:rPr>
      </w:pPr>
      <w:r>
        <w:rPr>
          <w:rFonts w:hint="eastAsia" w:ascii="宋体" w:hAnsi="宋体" w:cs="宋体"/>
          <w:b/>
          <w:bCs/>
          <w:sz w:val="24"/>
          <w:szCs w:val="24"/>
        </w:rPr>
        <w:t>16.17 其他违反法律、法规的情形。</w:t>
      </w:r>
    </w:p>
    <w:p>
      <w:pPr>
        <w:pStyle w:val="4"/>
        <w:numPr>
          <w:ilvl w:val="0"/>
          <w:numId w:val="8"/>
        </w:numPr>
        <w:spacing w:line="336" w:lineRule="auto"/>
        <w:jc w:val="center"/>
        <w:rPr>
          <w:rFonts w:cs="Times New Roman"/>
        </w:rPr>
      </w:pPr>
      <w:r>
        <w:t xml:space="preserve"> </w:t>
      </w:r>
      <w:bookmarkStart w:id="60" w:name="_Toc21752"/>
      <w:bookmarkStart w:id="61" w:name="_Toc24795"/>
      <w:r>
        <w:rPr>
          <w:rFonts w:hint="eastAsia"/>
        </w:rPr>
        <w:t>采购中止的情形</w:t>
      </w:r>
      <w:bookmarkEnd w:id="60"/>
      <w:bookmarkEnd w:id="61"/>
    </w:p>
    <w:p>
      <w:pPr>
        <w:pStyle w:val="12"/>
        <w:spacing w:line="336" w:lineRule="auto"/>
        <w:ind w:left="420" w:leftChars="200"/>
        <w:rPr>
          <w:rFonts w:hAnsi="宋体" w:cs="Times New Roman"/>
          <w:b/>
          <w:bCs/>
          <w:sz w:val="24"/>
          <w:szCs w:val="24"/>
        </w:rPr>
      </w:pPr>
      <w:r>
        <w:rPr>
          <w:rFonts w:hAnsi="宋体"/>
          <w:b/>
          <w:bCs/>
          <w:sz w:val="24"/>
          <w:szCs w:val="24"/>
        </w:rPr>
        <w:t>17</w:t>
      </w:r>
      <w:r>
        <w:rPr>
          <w:rFonts w:hint="eastAsia" w:hAnsi="宋体"/>
          <w:b/>
          <w:bCs/>
          <w:sz w:val="24"/>
          <w:szCs w:val="24"/>
        </w:rPr>
        <w:t>.</w:t>
      </w:r>
      <w:r>
        <w:rPr>
          <w:rFonts w:hint="eastAsia" w:hAnsi="宋体"/>
          <w:b/>
          <w:bCs/>
          <w:sz w:val="24"/>
          <w:szCs w:val="24"/>
          <w:lang w:val="zh-CN"/>
        </w:rPr>
        <w:t>中止电子交易活动和</w:t>
      </w:r>
      <w:r>
        <w:rPr>
          <w:rFonts w:hint="eastAsia" w:hAnsi="宋体"/>
          <w:b/>
          <w:bCs/>
          <w:sz w:val="24"/>
          <w:szCs w:val="24"/>
        </w:rPr>
        <w:t>重新组织采购</w:t>
      </w:r>
    </w:p>
    <w:p>
      <w:pPr>
        <w:pStyle w:val="53"/>
        <w:tabs>
          <w:tab w:val="left" w:pos="0"/>
        </w:tabs>
        <w:spacing w:before="0" w:line="336" w:lineRule="auto"/>
        <w:ind w:left="420" w:leftChars="200" w:firstLine="0" w:firstLineChars="0"/>
        <w:rPr>
          <w:rFonts w:ascii="宋体"/>
          <w:lang w:val="zh-CN"/>
        </w:rPr>
      </w:pPr>
      <w:r>
        <w:rPr>
          <w:rFonts w:ascii="宋体" w:hAnsi="宋体" w:cs="宋体"/>
        </w:rPr>
        <w:t>17.1</w:t>
      </w:r>
      <w:r>
        <w:rPr>
          <w:rFonts w:hint="eastAsia" w:ascii="宋体" w:hAnsi="宋体" w:cs="宋体"/>
          <w:lang w:val="zh-CN"/>
        </w:rPr>
        <w:t>采购过程中出现以下情形，导致电子交易平台无法正常运行，或者无法保证电子交易的公平、公正和安全时，采购组织机构可中止电子交易活动：</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电子交易平台发生故障而无法登录访问的；</w:t>
      </w:r>
      <w:r>
        <w:rPr>
          <w:rFonts w:ascii="宋体" w:hAnsi="宋体" w:cs="宋体"/>
          <w:sz w:val="24"/>
          <w:szCs w:val="24"/>
        </w:rPr>
        <w:t xml:space="preserve"> </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电子交易平台应用或数据库出现错误，不能进行正常操作的；</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电子交易平台发现严重安全漏洞，有潜在泄密危险的；</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病毒发作导致不能进行正常操作的；</w:t>
      </w:r>
      <w:r>
        <w:rPr>
          <w:rFonts w:ascii="宋体" w:hAnsi="宋体" w:cs="宋体"/>
          <w:sz w:val="24"/>
          <w:szCs w:val="24"/>
        </w:rPr>
        <w:t xml:space="preserve"> </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其他无法保证电子交易的公平、公正和安全的情况。</w:t>
      </w:r>
    </w:p>
    <w:p>
      <w:pPr>
        <w:pStyle w:val="53"/>
        <w:tabs>
          <w:tab w:val="left" w:pos="0"/>
        </w:tabs>
        <w:spacing w:before="0" w:line="336" w:lineRule="auto"/>
        <w:ind w:firstLine="480"/>
        <w:rPr>
          <w:rFonts w:ascii="宋体"/>
        </w:rPr>
      </w:pPr>
      <w:r>
        <w:rPr>
          <w:rFonts w:ascii="宋体" w:hAnsi="宋体" w:cs="宋体"/>
        </w:rPr>
        <w:t>17.2</w:t>
      </w:r>
      <w:r>
        <w:rPr>
          <w:rFonts w:hint="eastAsia" w:ascii="宋体" w:hAnsi="宋体" w:cs="宋体"/>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4"/>
        <w:numPr>
          <w:ilvl w:val="0"/>
          <w:numId w:val="8"/>
        </w:numPr>
        <w:spacing w:line="336" w:lineRule="auto"/>
        <w:jc w:val="center"/>
        <w:rPr>
          <w:rFonts w:cs="Times New Roman"/>
        </w:rPr>
      </w:pPr>
      <w:r>
        <w:t xml:space="preserve"> </w:t>
      </w:r>
      <w:bookmarkStart w:id="62" w:name="_Toc14029"/>
      <w:bookmarkStart w:id="63" w:name="_Toc25002"/>
      <w:r>
        <w:rPr>
          <w:rFonts w:hint="eastAsia"/>
        </w:rPr>
        <w:t>确定成交供应商与签订合同</w:t>
      </w:r>
      <w:bookmarkEnd w:id="62"/>
      <w:bookmarkEnd w:id="63"/>
    </w:p>
    <w:p>
      <w:pPr>
        <w:snapToGrid w:val="0"/>
        <w:spacing w:line="336" w:lineRule="auto"/>
        <w:ind w:firstLine="482" w:firstLineChars="200"/>
        <w:rPr>
          <w:rFonts w:ascii="宋体"/>
          <w:b/>
          <w:bCs/>
          <w:sz w:val="24"/>
          <w:szCs w:val="24"/>
        </w:rPr>
      </w:pPr>
      <w:r>
        <w:rPr>
          <w:rFonts w:ascii="宋体" w:hAnsi="宋体" w:cs="宋体"/>
          <w:b/>
          <w:bCs/>
          <w:sz w:val="24"/>
          <w:szCs w:val="24"/>
        </w:rPr>
        <w:t>18</w:t>
      </w:r>
      <w:r>
        <w:rPr>
          <w:rFonts w:hint="eastAsia" w:ascii="宋体" w:hAnsi="宋体" w:cs="宋体"/>
          <w:b/>
          <w:bCs/>
          <w:sz w:val="24"/>
          <w:szCs w:val="24"/>
        </w:rPr>
        <w:t>.推荐成交候选供应商</w:t>
      </w:r>
    </w:p>
    <w:p>
      <w:pPr>
        <w:snapToGrid w:val="0"/>
        <w:spacing w:line="336" w:lineRule="auto"/>
        <w:ind w:firstLine="480" w:firstLineChars="200"/>
        <w:rPr>
          <w:rFonts w:ascii="宋体"/>
          <w:sz w:val="24"/>
          <w:szCs w:val="24"/>
        </w:rPr>
      </w:pPr>
      <w:r>
        <w:rPr>
          <w:rFonts w:ascii="宋体" w:hAnsi="宋体" w:cs="宋体"/>
          <w:sz w:val="24"/>
          <w:szCs w:val="24"/>
        </w:rPr>
        <w:t xml:space="preserve">18.1 </w:t>
      </w:r>
      <w:r>
        <w:rPr>
          <w:rFonts w:hint="eastAsia" w:ascii="宋体" w:hAnsi="宋体" w:cs="宋体"/>
          <w:sz w:val="24"/>
          <w:szCs w:val="24"/>
        </w:rPr>
        <w:t>磋商小组应当根据综合评分情况，按照评审得分由高到低顺序推荐</w:t>
      </w:r>
      <w:r>
        <w:rPr>
          <w:rFonts w:ascii="宋体" w:hAnsi="宋体" w:cs="宋体"/>
          <w:sz w:val="24"/>
          <w:szCs w:val="24"/>
        </w:rPr>
        <w:t>1</w:t>
      </w:r>
      <w:r>
        <w:rPr>
          <w:rFonts w:hint="eastAsia" w:ascii="宋体" w:hAnsi="宋体" w:cs="宋体"/>
          <w:sz w:val="24"/>
          <w:szCs w:val="24"/>
        </w:rPr>
        <w:t>名或以上成交候选供应商，并编写评审报告。评审得分相同的，按照最后报价由低到高的顺序推荐。评审得分且最后报价相同的，按照技术指标优劣顺序推荐。</w:t>
      </w:r>
    </w:p>
    <w:p>
      <w:pPr>
        <w:snapToGrid w:val="0"/>
        <w:spacing w:line="336" w:lineRule="auto"/>
        <w:ind w:firstLine="480" w:firstLineChars="200"/>
        <w:rPr>
          <w:rFonts w:ascii="宋体"/>
          <w:sz w:val="24"/>
          <w:szCs w:val="24"/>
        </w:rPr>
      </w:pPr>
      <w:r>
        <w:rPr>
          <w:rFonts w:ascii="宋体" w:hAnsi="宋体" w:cs="宋体"/>
          <w:sz w:val="24"/>
          <w:szCs w:val="24"/>
        </w:rPr>
        <w:t xml:space="preserve">18.2 </w:t>
      </w:r>
      <w:r>
        <w:rPr>
          <w:rFonts w:hint="eastAsia" w:ascii="宋体" w:hAnsi="宋体" w:cs="宋体"/>
          <w:sz w:val="24"/>
          <w:szCs w:val="24"/>
        </w:rPr>
        <w:t>采购代理机构应当在评审结束后</w:t>
      </w:r>
      <w:r>
        <w:rPr>
          <w:rFonts w:ascii="宋体" w:hAnsi="宋体" w:cs="宋体"/>
          <w:sz w:val="24"/>
          <w:szCs w:val="24"/>
        </w:rPr>
        <w:t>2</w:t>
      </w:r>
      <w:r>
        <w:rPr>
          <w:rFonts w:hint="eastAsia" w:ascii="宋体" w:hAnsi="宋体" w:cs="宋体"/>
          <w:sz w:val="24"/>
          <w:szCs w:val="24"/>
        </w:rPr>
        <w:t>个工作日内将评审报告送采购人确认。</w:t>
      </w:r>
    </w:p>
    <w:p>
      <w:pPr>
        <w:snapToGrid w:val="0"/>
        <w:spacing w:line="336" w:lineRule="auto"/>
        <w:ind w:firstLine="482" w:firstLineChars="200"/>
        <w:rPr>
          <w:rFonts w:ascii="宋体"/>
          <w:b/>
          <w:bCs/>
          <w:sz w:val="24"/>
          <w:szCs w:val="24"/>
        </w:rPr>
      </w:pPr>
      <w:r>
        <w:rPr>
          <w:rFonts w:ascii="宋体" w:hAnsi="宋体" w:cs="宋体"/>
          <w:b/>
          <w:bCs/>
          <w:sz w:val="24"/>
          <w:szCs w:val="24"/>
        </w:rPr>
        <w:t>19</w:t>
      </w:r>
      <w:r>
        <w:rPr>
          <w:rFonts w:hint="eastAsia" w:ascii="宋体" w:hAnsi="宋体" w:cs="宋体"/>
          <w:b/>
          <w:bCs/>
          <w:sz w:val="24"/>
          <w:szCs w:val="24"/>
        </w:rPr>
        <w:t>.确定成交供应商</w:t>
      </w:r>
    </w:p>
    <w:p>
      <w:pPr>
        <w:adjustRightInd w:val="0"/>
        <w:spacing w:line="336" w:lineRule="auto"/>
        <w:ind w:firstLine="480" w:firstLineChars="200"/>
        <w:rPr>
          <w:rFonts w:ascii="宋体"/>
          <w:sz w:val="24"/>
          <w:szCs w:val="24"/>
        </w:rPr>
      </w:pPr>
      <w:r>
        <w:rPr>
          <w:rFonts w:ascii="宋体" w:hAnsi="宋体" w:cs="宋体"/>
          <w:sz w:val="24"/>
          <w:szCs w:val="24"/>
        </w:rPr>
        <w:t>19.1</w:t>
      </w:r>
      <w:r>
        <w:rPr>
          <w:rFonts w:hint="eastAsia" w:ascii="宋体" w:hAnsi="宋体" w:cs="宋体"/>
          <w:sz w:val="24"/>
          <w:szCs w:val="24"/>
        </w:rPr>
        <w:t>采购人应当在收到评审报告后</w:t>
      </w:r>
      <w:r>
        <w:rPr>
          <w:rFonts w:ascii="宋体" w:hAnsi="宋体" w:cs="宋体"/>
          <w:sz w:val="24"/>
          <w:szCs w:val="24"/>
        </w:rPr>
        <w:t>5</w:t>
      </w:r>
      <w:r>
        <w:rPr>
          <w:rFonts w:hint="eastAsia" w:ascii="宋体" w:hAnsi="宋体" w:cs="宋体"/>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36" w:lineRule="auto"/>
        <w:ind w:firstLine="480" w:firstLineChars="200"/>
        <w:rPr>
          <w:rFonts w:ascii="宋体"/>
          <w:sz w:val="24"/>
          <w:szCs w:val="24"/>
        </w:rPr>
      </w:pPr>
      <w:r>
        <w:rPr>
          <w:rFonts w:ascii="宋体" w:hAnsi="宋体" w:cs="宋体"/>
          <w:sz w:val="24"/>
          <w:szCs w:val="24"/>
        </w:rPr>
        <w:t>19.2</w:t>
      </w:r>
      <w:r>
        <w:rPr>
          <w:rFonts w:hint="eastAsia" w:ascii="宋体" w:hAnsi="宋体" w:cs="宋体"/>
          <w:sz w:val="24"/>
          <w:szCs w:val="24"/>
        </w:rPr>
        <w:t>采购人或者采购代理机构应当在成交供应商确定后</w:t>
      </w:r>
      <w:r>
        <w:rPr>
          <w:rFonts w:ascii="宋体" w:hAnsi="宋体" w:cs="宋体"/>
          <w:sz w:val="24"/>
          <w:szCs w:val="24"/>
        </w:rPr>
        <w:t>2</w:t>
      </w:r>
      <w:r>
        <w:rPr>
          <w:rFonts w:hint="eastAsia" w:ascii="宋体" w:hAnsi="宋体" w:cs="宋体"/>
          <w:sz w:val="24"/>
          <w:szCs w:val="24"/>
        </w:rPr>
        <w:t>个工作日内，在省级以上财政部门指定的政府采购信息发布媒体上公告成交结果，同时向成交供应商发出成交通知书。</w:t>
      </w:r>
    </w:p>
    <w:p>
      <w:pPr>
        <w:adjustRightInd w:val="0"/>
        <w:spacing w:line="336" w:lineRule="auto"/>
        <w:ind w:firstLine="482" w:firstLineChars="200"/>
        <w:rPr>
          <w:rFonts w:ascii="宋体"/>
          <w:b/>
          <w:bCs/>
          <w:sz w:val="24"/>
          <w:szCs w:val="24"/>
        </w:rPr>
      </w:pPr>
      <w:r>
        <w:rPr>
          <w:rFonts w:ascii="宋体" w:hAnsi="宋体" w:cs="宋体"/>
          <w:b/>
          <w:bCs/>
          <w:sz w:val="24"/>
          <w:szCs w:val="24"/>
        </w:rPr>
        <w:t>20</w:t>
      </w:r>
      <w:r>
        <w:rPr>
          <w:rFonts w:hint="eastAsia" w:ascii="宋体" w:hAnsi="宋体" w:cs="宋体"/>
          <w:b/>
          <w:bCs/>
          <w:sz w:val="24"/>
          <w:szCs w:val="24"/>
        </w:rPr>
        <w:t>.签订合同</w:t>
      </w:r>
    </w:p>
    <w:p>
      <w:pPr>
        <w:pStyle w:val="53"/>
        <w:snapToGrid w:val="0"/>
        <w:spacing w:before="0" w:line="336" w:lineRule="auto"/>
        <w:ind w:firstLine="480"/>
        <w:rPr>
          <w:rFonts w:ascii="宋体"/>
        </w:rPr>
      </w:pPr>
      <w:r>
        <w:rPr>
          <w:rFonts w:ascii="宋体" w:hAnsi="宋体" w:cs="宋体"/>
        </w:rPr>
        <w:t xml:space="preserve">20.1. </w:t>
      </w:r>
      <w:r>
        <w:rPr>
          <w:rFonts w:hint="eastAsia" w:ascii="宋体" w:hAnsi="宋体" w:cs="宋体"/>
        </w:rPr>
        <w:t>采购人与成交供应商应当在成交通知书发出之日起</w:t>
      </w:r>
      <w:r>
        <w:rPr>
          <w:rFonts w:ascii="宋体" w:hAnsi="宋体" w:cs="宋体"/>
        </w:rPr>
        <w:t>30</w:t>
      </w:r>
      <w:r>
        <w:rPr>
          <w:rFonts w:hint="eastAsia" w:ascii="宋体" w:hAnsi="宋体" w:cs="宋体"/>
        </w:rPr>
        <w:t>日内，按照磋商文件确定的合同文本以及采购标的、规格型号、采购金额、采购数量、技术和服务要求等事项签订政府采购合同。</w:t>
      </w:r>
    </w:p>
    <w:p>
      <w:pPr>
        <w:pStyle w:val="53"/>
        <w:snapToGrid w:val="0"/>
        <w:spacing w:before="0" w:line="336" w:lineRule="auto"/>
        <w:ind w:firstLine="480"/>
        <w:rPr>
          <w:rFonts w:ascii="宋体"/>
        </w:rPr>
      </w:pPr>
      <w:r>
        <w:rPr>
          <w:rFonts w:ascii="宋体" w:hAnsi="宋体" w:cs="宋体"/>
        </w:rPr>
        <w:t xml:space="preserve">20.2. </w:t>
      </w:r>
      <w:r>
        <w:rPr>
          <w:rFonts w:hint="eastAsia" w:ascii="宋体" w:hAnsi="宋体" w:cs="宋体"/>
        </w:rPr>
        <w:t>成交供应商拒绝签订政府采购合同的，采购人可以按照《政府采购竞争性磋商采购方式管理暂行办法》（财库〔</w:t>
      </w:r>
      <w:r>
        <w:rPr>
          <w:rFonts w:ascii="宋体" w:hAnsi="宋体" w:cs="宋体"/>
        </w:rPr>
        <w:t>2014</w:t>
      </w:r>
      <w:r>
        <w:rPr>
          <w:rFonts w:hint="eastAsia" w:ascii="宋体" w:hAnsi="宋体" w:cs="宋体"/>
        </w:rPr>
        <w:t>〕</w:t>
      </w:r>
      <w:r>
        <w:rPr>
          <w:rFonts w:ascii="宋体" w:hAnsi="宋体" w:cs="宋体"/>
        </w:rPr>
        <w:t>214</w:t>
      </w:r>
      <w:r>
        <w:rPr>
          <w:rFonts w:hint="eastAsia" w:ascii="宋体" w:hAnsi="宋体" w:cs="宋体"/>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36" w:lineRule="auto"/>
        <w:ind w:firstLine="482" w:firstLineChars="200"/>
        <w:rPr>
          <w:rFonts w:ascii="宋体"/>
          <w:b/>
          <w:bCs/>
          <w:sz w:val="24"/>
          <w:szCs w:val="24"/>
        </w:rPr>
      </w:pPr>
      <w:r>
        <w:rPr>
          <w:rFonts w:ascii="宋体" w:hAnsi="宋体" w:cs="宋体"/>
          <w:b/>
          <w:bCs/>
          <w:sz w:val="24"/>
          <w:szCs w:val="24"/>
        </w:rPr>
        <w:t>21</w:t>
      </w:r>
      <w:r>
        <w:rPr>
          <w:rFonts w:hint="eastAsia" w:ascii="宋体" w:hAnsi="宋体" w:cs="宋体"/>
          <w:b/>
          <w:bCs/>
          <w:sz w:val="24"/>
          <w:szCs w:val="24"/>
        </w:rPr>
        <w:t>.解释权</w:t>
      </w:r>
    </w:p>
    <w:p>
      <w:pPr>
        <w:adjustRightInd w:val="0"/>
        <w:spacing w:line="336" w:lineRule="auto"/>
        <w:ind w:firstLine="480" w:firstLineChars="200"/>
        <w:rPr>
          <w:rFonts w:ascii="宋体"/>
          <w:sz w:val="24"/>
          <w:szCs w:val="24"/>
        </w:rPr>
      </w:pPr>
      <w:r>
        <w:rPr>
          <w:rFonts w:hint="eastAsia" w:ascii="宋体" w:hAnsi="宋体" w:cs="宋体"/>
          <w:sz w:val="24"/>
          <w:szCs w:val="24"/>
        </w:rPr>
        <w:t>磋商文件的解释权均属于</w:t>
      </w:r>
      <w:r>
        <w:rPr>
          <w:rFonts w:hint="eastAsia" w:ascii="宋体" w:hAnsi="宋体" w:cs="宋体"/>
          <w:sz w:val="24"/>
          <w:szCs w:val="24"/>
          <w:u w:val="single"/>
        </w:rPr>
        <w:t>绍兴市上虞区水文站</w:t>
      </w:r>
      <w:r>
        <w:rPr>
          <w:rFonts w:hint="eastAsia" w:ascii="宋体" w:hAnsi="宋体" w:cs="宋体"/>
          <w:sz w:val="24"/>
          <w:szCs w:val="24"/>
        </w:rPr>
        <w:t>和</w:t>
      </w:r>
      <w:r>
        <w:rPr>
          <w:rFonts w:ascii="宋体" w:hAnsi="宋体" w:cs="宋体"/>
          <w:sz w:val="24"/>
          <w:szCs w:val="24"/>
          <w:u w:val="single"/>
        </w:rPr>
        <w:t xml:space="preserve"> </w:t>
      </w:r>
      <w:r>
        <w:rPr>
          <w:rFonts w:hint="eastAsia" w:ascii="宋体" w:hAnsi="宋体" w:cs="宋体"/>
          <w:sz w:val="24"/>
          <w:szCs w:val="24"/>
          <w:u w:val="single"/>
        </w:rPr>
        <w:t>浙江天平项目咨询有限公司</w:t>
      </w:r>
      <w:r>
        <w:rPr>
          <w:rFonts w:ascii="宋体" w:hAnsi="宋体" w:cs="宋体"/>
          <w:sz w:val="24"/>
          <w:szCs w:val="24"/>
          <w:u w:val="single"/>
        </w:rPr>
        <w:t xml:space="preserve"> </w:t>
      </w:r>
      <w:r>
        <w:rPr>
          <w:rFonts w:hint="eastAsia" w:ascii="宋体" w:hAnsi="宋体" w:cs="宋体"/>
          <w:sz w:val="24"/>
          <w:szCs w:val="24"/>
        </w:rPr>
        <w:t>。</w:t>
      </w:r>
    </w:p>
    <w:p>
      <w:pPr>
        <w:pStyle w:val="10"/>
        <w:rPr>
          <w:rFonts w:cs="Times New Roman"/>
        </w:rPr>
      </w:pPr>
    </w:p>
    <w:p>
      <w:pPr>
        <w:pStyle w:val="3"/>
        <w:numPr>
          <w:ilvl w:val="0"/>
          <w:numId w:val="15"/>
        </w:numPr>
        <w:jc w:val="center"/>
        <w:rPr>
          <w:rFonts w:cs="宋体"/>
          <w:sz w:val="36"/>
          <w:szCs w:val="36"/>
        </w:rPr>
      </w:pPr>
      <w:r>
        <w:rPr>
          <w:sz w:val="36"/>
          <w:szCs w:val="36"/>
        </w:rPr>
        <w:br w:type="page"/>
      </w:r>
      <w:bookmarkStart w:id="64" w:name="_Toc21248"/>
      <w:bookmarkStart w:id="65" w:name="_Toc5722"/>
      <w:r>
        <w:rPr>
          <w:rFonts w:hint="eastAsia" w:cs="宋体"/>
          <w:sz w:val="36"/>
          <w:szCs w:val="36"/>
        </w:rPr>
        <w:t>采购内容及要求</w:t>
      </w:r>
      <w:bookmarkEnd w:id="64"/>
      <w:bookmarkEnd w:id="65"/>
    </w:p>
    <w:p>
      <w:pPr>
        <w:pStyle w:val="4"/>
        <w:jc w:val="center"/>
        <w:rPr>
          <w:b/>
          <w:bCs/>
        </w:rPr>
      </w:pPr>
      <w:bookmarkStart w:id="66" w:name="_Toc6438"/>
      <w:r>
        <w:rPr>
          <w:rFonts w:hint="eastAsia"/>
          <w:b/>
          <w:bCs/>
        </w:rPr>
        <w:t>第一章 采购内容及要求</w:t>
      </w:r>
      <w:bookmarkEnd w:id="66"/>
    </w:p>
    <w:p>
      <w:pPr>
        <w:pStyle w:val="83"/>
        <w:spacing w:line="360" w:lineRule="auto"/>
        <w:ind w:firstLine="482" w:firstLineChars="200"/>
        <w:jc w:val="left"/>
        <w:rPr>
          <w:rFonts w:ascii="宋体" w:eastAsia="宋体" w:cs="宋体"/>
        </w:rPr>
      </w:pPr>
      <w:bookmarkStart w:id="67" w:name="_Toc15284"/>
      <w:r>
        <w:rPr>
          <w:rFonts w:hint="eastAsia" w:ascii="宋体" w:eastAsia="宋体" w:cs="宋体"/>
        </w:rPr>
        <w:t>一、项目背景</w:t>
      </w:r>
    </w:p>
    <w:p>
      <w:pPr>
        <w:pStyle w:val="83"/>
        <w:spacing w:line="360" w:lineRule="auto"/>
        <w:ind w:firstLine="480" w:firstLineChars="200"/>
        <w:jc w:val="left"/>
        <w:rPr>
          <w:rFonts w:ascii="宋体" w:eastAsia="宋体" w:cs="宋体"/>
          <w:b w:val="0"/>
        </w:rPr>
      </w:pPr>
      <w:r>
        <w:rPr>
          <w:rFonts w:hint="eastAsia" w:ascii="宋体" w:eastAsia="宋体" w:cs="宋体"/>
          <w:b w:val="0"/>
        </w:rPr>
        <w:t>国家“十四五”规划纲要明确提出“构建智慧水利体系，以流域为单元提升水情测报和智能调度能力”。水利部高度重视智慧水利建设，将推进智慧水利建设作为推动新阶段水利高质量发展的最显著标志和六条实施路径之一，提出“要加快构建具有‘四预’（预报、预警、预演、预案）功能的智慧水利体系”。预报、预警作为“四预”关键环节，需要极强的水利专业模型技术攻关，提高精准度，延长预见期，实现对物理流域全要素、全过程的前瞻预演，确保风险提前发现、预警提前发布、方案提前制定、措施提前实施。</w:t>
      </w:r>
    </w:p>
    <w:p>
      <w:pPr>
        <w:pStyle w:val="83"/>
        <w:spacing w:line="360" w:lineRule="auto"/>
        <w:ind w:firstLine="480" w:firstLineChars="200"/>
        <w:jc w:val="left"/>
        <w:rPr>
          <w:rFonts w:ascii="宋体" w:eastAsia="宋体" w:cs="宋体"/>
          <w:b w:val="0"/>
        </w:rPr>
      </w:pPr>
      <w:r>
        <w:rPr>
          <w:rFonts w:hint="eastAsia" w:ascii="宋体" w:eastAsia="宋体" w:cs="宋体"/>
          <w:b w:val="0"/>
        </w:rPr>
        <w:t>根据曹娥江中下游流域防汛抗台、预报调度、监测预警等相关要求，拟开展曹娥江上虞河段精细化水文预报项目建设，完善曹娥江洪水的监测预警体系和群测群防体系，提高曹娥江洪水防御的支撑和保障，充分发挥水文防汛抗台耳目尖兵作用，进一步增强防汛部门的科学决策能力，助力水利业务“四预”功能建设，对减少人员伤亡和保障人民群众生命财产安全具有重要的现实意义。项目列入省水利厅2023年水利改革试点（流域预报调度一体化）项目。</w:t>
      </w:r>
    </w:p>
    <w:p>
      <w:pPr>
        <w:pStyle w:val="83"/>
        <w:spacing w:line="360" w:lineRule="auto"/>
        <w:ind w:firstLine="482" w:firstLineChars="200"/>
        <w:jc w:val="left"/>
        <w:rPr>
          <w:rFonts w:ascii="宋体" w:eastAsia="宋体" w:cs="宋体"/>
        </w:rPr>
      </w:pPr>
      <w:r>
        <w:rPr>
          <w:rFonts w:hint="eastAsia" w:ascii="宋体" w:eastAsia="宋体" w:cs="宋体"/>
        </w:rPr>
        <w:t>二、项目内容及要求</w:t>
      </w:r>
    </w:p>
    <w:p>
      <w:pPr>
        <w:pStyle w:val="83"/>
        <w:spacing w:line="360" w:lineRule="auto"/>
        <w:ind w:firstLine="480" w:firstLineChars="200"/>
        <w:jc w:val="left"/>
        <w:rPr>
          <w:rFonts w:ascii="宋体" w:eastAsia="宋体" w:cs="宋体"/>
          <w:b w:val="0"/>
        </w:rPr>
      </w:pPr>
      <w:r>
        <w:rPr>
          <w:rFonts w:hint="eastAsia" w:ascii="宋体" w:eastAsia="宋体" w:cs="宋体"/>
          <w:b w:val="0"/>
        </w:rPr>
        <w:t xml:space="preserve">项目内容：开展曹娥江上虞河段精细化水文预报项目建设。项目水文预报范围涉及曹娥江干流的嵊州/黄泽至曹娥江大闸区间，需根据曹娥江流域水系、水雨工情建设、水文站网规划、流域产汇流特性等信息基础上，分区间制定洪水演进计算方案，选择分布式预报模型和实时校正方法，合理考虑重要水利工程（南山水库、长诏水库、钦寸水库、汤浦水库、姚江西排枢纽、新三江闸、马山闸、曹娥江大闸等）调度情况，并结合实时水雨情信息和气象数值降雨预报，构建曹娥江上虞河段精细化水文预报方案及服务，供防汛部门科学决策。 </w:t>
      </w:r>
    </w:p>
    <w:p>
      <w:pPr>
        <w:pStyle w:val="83"/>
        <w:spacing w:line="360" w:lineRule="auto"/>
        <w:ind w:firstLine="480" w:firstLineChars="200"/>
        <w:jc w:val="left"/>
        <w:rPr>
          <w:rFonts w:ascii="宋体" w:eastAsia="宋体" w:cs="宋体"/>
          <w:b w:val="0"/>
        </w:rPr>
      </w:pPr>
      <w:r>
        <w:rPr>
          <w:rFonts w:hint="eastAsia" w:ascii="宋体" w:eastAsia="宋体" w:cs="宋体"/>
          <w:b w:val="0"/>
        </w:rPr>
        <w:t>项目要求：综合考虑曹娥江上虞河段水文气象特性、下垫面特性、水利工程等因素影响，分预报区间进行曹娥江上虞河段的预报方案构建、分布式模型搭建、模型参数率定、实时校正方案和自动预报部署，构建曹娥江上虞河段精细化水文预报方案。</w:t>
      </w:r>
    </w:p>
    <w:p>
      <w:pPr>
        <w:pStyle w:val="83"/>
        <w:spacing w:line="360" w:lineRule="auto"/>
        <w:ind w:firstLine="480" w:firstLineChars="200"/>
        <w:jc w:val="left"/>
        <w:rPr>
          <w:rFonts w:ascii="宋体" w:eastAsia="宋体" w:cs="宋体"/>
          <w:b w:val="0"/>
        </w:rPr>
      </w:pPr>
      <w:r>
        <w:rPr>
          <w:rFonts w:hint="eastAsia" w:ascii="宋体" w:eastAsia="宋体" w:cs="宋体"/>
          <w:b w:val="0"/>
        </w:rPr>
        <w:t>方案需要在考虑地面观测降水的基础上接入气象降水，有效延长预见期。同时为提高预报精度和可靠性，要求针对各个预报区间具体情况，结合搭建的分布式预报方案和可用的实时水雨情信息，采用先进有效的误差实时校正方法进行实时校正方案构建，实现对预报结果进行逐预报区间、多层次校正。</w:t>
      </w:r>
    </w:p>
    <w:p>
      <w:pPr>
        <w:pStyle w:val="83"/>
        <w:spacing w:line="360" w:lineRule="auto"/>
        <w:ind w:firstLine="480" w:firstLineChars="200"/>
        <w:jc w:val="left"/>
        <w:rPr>
          <w:rFonts w:ascii="宋体" w:eastAsia="宋体" w:cs="宋体"/>
          <w:b w:val="0"/>
        </w:rPr>
      </w:pPr>
      <w:r>
        <w:rPr>
          <w:rFonts w:hint="eastAsia" w:ascii="宋体" w:eastAsia="宋体" w:cs="宋体"/>
          <w:b w:val="0"/>
        </w:rPr>
        <w:t>方案需对实时校正方法和分布式水文模型进行耦合，在人工作业的基础上构建自动预报服务，实现预报方案及服务的全天候自动化运行，以连续不间断地实时监测大洪水发生的风险并进行预警，并满足日常预报需求。</w:t>
      </w:r>
    </w:p>
    <w:p>
      <w:pPr>
        <w:spacing w:line="360" w:lineRule="auto"/>
        <w:ind w:firstLine="482" w:firstLineChars="200"/>
        <w:rPr>
          <w:rFonts w:ascii="宋体" w:hAnsi="宋体"/>
          <w:b/>
          <w:bCs/>
          <w:sz w:val="24"/>
        </w:rPr>
      </w:pPr>
      <w:r>
        <w:rPr>
          <w:rFonts w:hint="eastAsia" w:ascii="宋体" w:hAnsi="宋体"/>
          <w:b/>
          <w:bCs/>
          <w:sz w:val="24"/>
        </w:rPr>
        <w:t>三、项目服务期限</w:t>
      </w:r>
    </w:p>
    <w:p>
      <w:pPr>
        <w:spacing w:line="460" w:lineRule="exact"/>
        <w:ind w:firstLine="480" w:firstLineChars="200"/>
        <w:rPr>
          <w:rFonts w:asciiTheme="minorEastAsia" w:hAnsiTheme="minorEastAsia" w:eastAsiaTheme="minorEastAsia"/>
          <w:sz w:val="24"/>
          <w:szCs w:val="24"/>
        </w:rPr>
      </w:pPr>
      <w:r>
        <w:rPr>
          <w:rFonts w:hint="eastAsia" w:ascii="宋体" w:hAnsi="宋体"/>
          <w:bCs/>
          <w:sz w:val="24"/>
        </w:rPr>
        <w:t>项目建设期为自合同签署生效之日起210日历天内（具体以合同签订时间为准），同时要求在验收完成后提供2年的后续预报服务支撑。部署相应的技术支撑服务，包括汛前服务维护、洪水期间的驻地服务等，技术支撑人员配置需满足曹娥江上虞河段的防汛需求</w:t>
      </w:r>
      <w:r>
        <w:rPr>
          <w:rFonts w:hint="eastAsia" w:asciiTheme="minorEastAsia" w:hAnsiTheme="minorEastAsia" w:eastAsiaTheme="minorEastAsia"/>
          <w:sz w:val="24"/>
          <w:szCs w:val="24"/>
        </w:rPr>
        <w:t>。</w:t>
      </w:r>
    </w:p>
    <w:p>
      <w:pPr>
        <w:pStyle w:val="4"/>
        <w:jc w:val="center"/>
        <w:rPr>
          <w:b/>
          <w:bCs/>
        </w:rPr>
      </w:pPr>
      <w:bookmarkStart w:id="68" w:name="_Toc27488"/>
      <w:bookmarkStart w:id="69" w:name="_Toc17070"/>
      <w:r>
        <w:rPr>
          <w:rFonts w:hint="eastAsia"/>
          <w:b/>
          <w:bCs/>
        </w:rPr>
        <w:t>第二章 付款方式及要求</w:t>
      </w:r>
      <w:bookmarkEnd w:id="68"/>
      <w:bookmarkEnd w:id="69"/>
    </w:p>
    <w:p>
      <w:pPr>
        <w:spacing w:line="360" w:lineRule="auto"/>
        <w:ind w:firstLine="480" w:firstLineChars="200"/>
        <w:rPr>
          <w:sz w:val="24"/>
          <w:szCs w:val="24"/>
        </w:rPr>
      </w:pPr>
      <w:bookmarkStart w:id="70" w:name="_Toc72144021"/>
      <w:bookmarkStart w:id="71" w:name="_Toc1944"/>
      <w:r>
        <w:rPr>
          <w:rFonts w:hint="eastAsia"/>
          <w:sz w:val="24"/>
          <w:szCs w:val="24"/>
        </w:rPr>
        <w:t>付款方式：合同生效以及具备实施条件后7个工作日内支</w:t>
      </w:r>
      <w:r>
        <w:rPr>
          <w:rFonts w:hint="eastAsia" w:ascii="宋体" w:hAnsi="宋体"/>
          <w:sz w:val="24"/>
          <w:szCs w:val="24"/>
        </w:rPr>
        <w:t>付合同价的30%，</w:t>
      </w:r>
      <w:r>
        <w:rPr>
          <w:rFonts w:hint="eastAsia" w:ascii="宋体" w:hAnsi="宋体" w:cs="仿宋_GB2312"/>
          <w:sz w:val="24"/>
          <w:szCs w:val="24"/>
        </w:rPr>
        <w:t>余款70%在项目验收完成并提交所有技术成果后一次性付清</w:t>
      </w:r>
      <w:r>
        <w:rPr>
          <w:rFonts w:hint="eastAsia" w:ascii="宋体" w:hAnsi="宋体" w:cs="宋体"/>
          <w:bCs/>
          <w:sz w:val="24"/>
          <w:szCs w:val="24"/>
        </w:rPr>
        <w:t>。</w:t>
      </w:r>
      <w:bookmarkEnd w:id="70"/>
      <w:bookmarkEnd w:id="71"/>
      <w:r>
        <w:rPr>
          <w:rFonts w:hint="eastAsia"/>
          <w:sz w:val="24"/>
          <w:szCs w:val="24"/>
        </w:rPr>
        <w:br w:type="page"/>
      </w:r>
    </w:p>
    <w:p>
      <w:pPr>
        <w:pStyle w:val="3"/>
        <w:jc w:val="center"/>
        <w:rPr>
          <w:rFonts w:cs="Times New Roman"/>
          <w:sz w:val="36"/>
          <w:szCs w:val="36"/>
        </w:rPr>
      </w:pPr>
      <w:bookmarkStart w:id="72" w:name="_Toc20379"/>
      <w:r>
        <w:rPr>
          <w:rFonts w:hint="eastAsia" w:cs="宋体"/>
          <w:sz w:val="36"/>
          <w:szCs w:val="36"/>
        </w:rPr>
        <w:t>第四部分 磋商原则及磋商方法</w:t>
      </w:r>
      <w:bookmarkEnd w:id="67"/>
      <w:bookmarkEnd w:id="72"/>
    </w:p>
    <w:p>
      <w:pPr>
        <w:pStyle w:val="4"/>
        <w:numPr>
          <w:ilvl w:val="0"/>
          <w:numId w:val="16"/>
        </w:numPr>
        <w:jc w:val="center"/>
        <w:rPr>
          <w:rFonts w:cs="Times New Roman"/>
        </w:rPr>
      </w:pPr>
      <w:bookmarkStart w:id="73" w:name="_Toc1265"/>
      <w:r>
        <w:rPr>
          <w:rFonts w:hint="eastAsia"/>
        </w:rPr>
        <w:t xml:space="preserve"> </w:t>
      </w:r>
      <w:bookmarkStart w:id="74" w:name="_Toc23927"/>
      <w:r>
        <w:rPr>
          <w:rFonts w:hint="eastAsia"/>
        </w:rPr>
        <w:t>磋商原则</w:t>
      </w:r>
      <w:bookmarkEnd w:id="73"/>
      <w:bookmarkEnd w:id="74"/>
    </w:p>
    <w:p>
      <w:pPr>
        <w:pStyle w:val="5"/>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.本次竞争性磋商本着公平、公正、科学、择优的原则，邀请各磋商方参加报价。</w:t>
      </w:r>
    </w:p>
    <w:p>
      <w:pPr>
        <w:pStyle w:val="5"/>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.磋商小组将严格按照竞争性磋商文件的要求，对供应商的响应性文件进行认真评审；磋商小组对响应性文件的评审仅依据响应性文件本身，而不依据响应性文件以外的任何因素。</w:t>
      </w:r>
    </w:p>
    <w:p>
      <w:pPr>
        <w:pStyle w:val="5"/>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.磋商小组按照统一的磋商原则和磋商方法，用同一标准对所有响应性文件进行评审。</w:t>
      </w:r>
    </w:p>
    <w:p>
      <w:pPr>
        <w:pStyle w:val="12"/>
        <w:spacing w:line="360" w:lineRule="auto"/>
        <w:ind w:firstLine="482" w:firstLineChars="200"/>
        <w:rPr>
          <w:rFonts w:hAnsi="宋体" w:cs="Times New Roman"/>
          <w:b/>
          <w:bCs/>
          <w:sz w:val="24"/>
          <w:szCs w:val="24"/>
        </w:rPr>
      </w:pPr>
      <w:r>
        <w:rPr>
          <w:rFonts w:hAnsi="宋体"/>
          <w:b/>
          <w:bCs/>
          <w:sz w:val="24"/>
          <w:szCs w:val="24"/>
        </w:rPr>
        <w:t>4</w:t>
      </w:r>
      <w:r>
        <w:rPr>
          <w:rFonts w:hint="eastAsia" w:hAnsi="宋体"/>
          <w:b/>
          <w:bCs/>
          <w:sz w:val="24"/>
          <w:szCs w:val="24"/>
        </w:rPr>
        <w:t>.评审</w:t>
      </w:r>
    </w:p>
    <w:p>
      <w:pPr>
        <w:pStyle w:val="12"/>
        <w:spacing w:line="360" w:lineRule="auto"/>
        <w:ind w:firstLine="480" w:firstLineChars="200"/>
        <w:rPr>
          <w:rFonts w:hAnsi="宋体" w:cs="Times New Roman"/>
          <w:sz w:val="24"/>
          <w:szCs w:val="24"/>
        </w:rPr>
      </w:pPr>
      <w:r>
        <w:rPr>
          <w:rFonts w:hAnsi="宋体"/>
          <w:sz w:val="24"/>
          <w:szCs w:val="24"/>
        </w:rPr>
        <w:t>4.1</w:t>
      </w:r>
      <w:r>
        <w:rPr>
          <w:rFonts w:hint="eastAsia" w:hAnsi="宋体"/>
          <w:sz w:val="24"/>
          <w:szCs w:val="24"/>
        </w:rPr>
        <w:t>在磋商响应截止时间前按规定提交响应文件的供应商在三家（含）以上的，由采购人或采购代理机构组织进行开标。</w:t>
      </w:r>
    </w:p>
    <w:p>
      <w:pPr>
        <w:pStyle w:val="12"/>
        <w:spacing w:line="360" w:lineRule="auto"/>
        <w:ind w:firstLine="482" w:firstLineChars="200"/>
        <w:rPr>
          <w:rFonts w:hAnsi="宋体" w:cs="Times New Roman"/>
          <w:sz w:val="24"/>
          <w:szCs w:val="24"/>
        </w:rPr>
      </w:pPr>
      <w:r>
        <w:rPr>
          <w:rFonts w:hAnsi="宋体"/>
          <w:b/>
          <w:bCs/>
          <w:sz w:val="24"/>
          <w:szCs w:val="24"/>
        </w:rPr>
        <w:t>4.2</w:t>
      </w:r>
      <w:r>
        <w:rPr>
          <w:rFonts w:hint="eastAsia" w:hAnsi="宋体"/>
          <w:b/>
          <w:bCs/>
          <w:sz w:val="24"/>
          <w:szCs w:val="24"/>
        </w:rPr>
        <w:t>供应商登录政采云平台，用“项目采购</w:t>
      </w:r>
      <w:r>
        <w:rPr>
          <w:rFonts w:hAnsi="宋体"/>
          <w:b/>
          <w:bCs/>
          <w:sz w:val="24"/>
          <w:szCs w:val="24"/>
        </w:rPr>
        <w:t>-</w:t>
      </w:r>
      <w:r>
        <w:rPr>
          <w:rFonts w:hint="eastAsia" w:hAnsi="宋体"/>
          <w:b/>
          <w:bCs/>
          <w:sz w:val="24"/>
          <w:szCs w:val="24"/>
        </w:rPr>
        <w:t>开标评标”功能对电子磋商响应文件进行在线解密。在线解密电子磋商响应文件时间为开标时间起</w:t>
      </w:r>
      <w:r>
        <w:rPr>
          <w:rFonts w:hAnsi="宋体"/>
          <w:b/>
          <w:bCs/>
          <w:sz w:val="24"/>
          <w:szCs w:val="24"/>
        </w:rPr>
        <w:t>30</w:t>
      </w:r>
      <w:r>
        <w:rPr>
          <w:rFonts w:hint="eastAsia" w:hAnsi="宋体"/>
          <w:b/>
          <w:bCs/>
          <w:sz w:val="24"/>
          <w:szCs w:val="24"/>
        </w:rPr>
        <w:t>分钟内。若电子磋商响应文件解密失败，则由采购代理机构工作人员上传供应商提供的备份文件。</w:t>
      </w:r>
      <w:r>
        <w:rPr>
          <w:rFonts w:hint="eastAsia" w:hAnsi="宋体"/>
          <w:sz w:val="24"/>
          <w:szCs w:val="24"/>
        </w:rPr>
        <w:t>备份文件（后缀名为</w:t>
      </w:r>
      <w:r>
        <w:rPr>
          <w:rFonts w:hAnsi="宋体"/>
          <w:sz w:val="24"/>
          <w:szCs w:val="24"/>
        </w:rPr>
        <w:t>.bfbs</w:t>
      </w:r>
      <w:r>
        <w:rPr>
          <w:rFonts w:hint="eastAsia" w:hAnsi="宋体"/>
          <w:sz w:val="24"/>
          <w:szCs w:val="24"/>
        </w:rPr>
        <w:t>）须存储在</w:t>
      </w:r>
      <w:r>
        <w:rPr>
          <w:rFonts w:hAnsi="宋体"/>
          <w:sz w:val="24"/>
          <w:szCs w:val="24"/>
        </w:rPr>
        <w:t>U</w:t>
      </w:r>
      <w:r>
        <w:rPr>
          <w:rFonts w:hint="eastAsia" w:hAnsi="宋体"/>
          <w:sz w:val="24"/>
          <w:szCs w:val="24"/>
        </w:rPr>
        <w:t>盘中，与上传的电子磋商响应文件一致，用信封进行密封并盖章</w:t>
      </w:r>
      <w:r>
        <w:rPr>
          <w:rFonts w:hint="eastAsia" w:hAnsi="宋体"/>
          <w:b/>
          <w:bCs/>
          <w:sz w:val="24"/>
          <w:szCs w:val="24"/>
        </w:rPr>
        <w:t>（信封内仅需放入存储备份文件的</w:t>
      </w:r>
      <w:r>
        <w:rPr>
          <w:rFonts w:hAnsi="宋体"/>
          <w:b/>
          <w:bCs/>
          <w:sz w:val="24"/>
          <w:szCs w:val="24"/>
        </w:rPr>
        <w:t>U</w:t>
      </w:r>
      <w:r>
        <w:rPr>
          <w:rFonts w:hint="eastAsia" w:hAnsi="宋体"/>
          <w:b/>
          <w:bCs/>
          <w:sz w:val="24"/>
          <w:szCs w:val="24"/>
        </w:rPr>
        <w:t>盘）</w:t>
      </w:r>
      <w:r>
        <w:rPr>
          <w:rFonts w:hint="eastAsia" w:hAnsi="宋体"/>
          <w:sz w:val="24"/>
          <w:szCs w:val="24"/>
        </w:rPr>
        <w:t>，由授权代表在磋商响应截止时间前递交至开标地点。</w:t>
      </w:r>
    </w:p>
    <w:p>
      <w:pPr>
        <w:pStyle w:val="12"/>
        <w:spacing w:line="360" w:lineRule="auto"/>
        <w:ind w:firstLine="480" w:firstLineChars="200"/>
        <w:rPr>
          <w:rFonts w:hAnsi="宋体" w:cs="Times New Roman"/>
          <w:sz w:val="24"/>
          <w:szCs w:val="24"/>
        </w:rPr>
      </w:pPr>
      <w:r>
        <w:rPr>
          <w:rFonts w:hAnsi="宋体"/>
          <w:sz w:val="24"/>
          <w:szCs w:val="24"/>
        </w:rPr>
        <w:t>4.3</w:t>
      </w:r>
      <w:r>
        <w:rPr>
          <w:rFonts w:hint="eastAsia" w:hAnsi="宋体"/>
          <w:sz w:val="24"/>
          <w:szCs w:val="24"/>
        </w:rPr>
        <w:t>采购人按磋商文件规定的时间、地点公开开标。开标仪式由采购人或采购代理机构主持及有关人员参加。</w:t>
      </w:r>
    </w:p>
    <w:p>
      <w:pPr>
        <w:pStyle w:val="53"/>
        <w:spacing w:before="0"/>
        <w:ind w:firstLine="480"/>
        <w:rPr>
          <w:rFonts w:ascii="宋体"/>
        </w:rPr>
      </w:pPr>
      <w:r>
        <w:rPr>
          <w:rFonts w:ascii="宋体" w:hAnsi="宋体" w:cs="宋体"/>
        </w:rPr>
        <w:t>4.4</w:t>
      </w:r>
      <w:r>
        <w:rPr>
          <w:rFonts w:hint="eastAsia" w:ascii="宋体" w:hAnsi="宋体" w:cs="宋体"/>
        </w:rPr>
        <w:t>本项目为电子投标项目，供应商一般不需要参加现场投标和开标，若供应商需要指派授权代表递交备份文件，则授权代表应随身携带法定代表人授权书原件于</w:t>
      </w:r>
      <w:r>
        <w:rPr>
          <w:rFonts w:hint="eastAsia" w:hAnsi="宋体" w:cs="宋体"/>
        </w:rPr>
        <w:t>磋商响应</w:t>
      </w:r>
      <w:r>
        <w:rPr>
          <w:rFonts w:hint="eastAsia" w:ascii="宋体" w:hAnsi="宋体" w:cs="宋体"/>
        </w:rPr>
        <w:t>截止时间前到达开标地点递交备份文件。若电子磋商响应文件正常解锁，则</w:t>
      </w:r>
      <w:r>
        <w:rPr>
          <w:rFonts w:ascii="宋体" w:hAnsi="宋体" w:cs="宋体"/>
        </w:rPr>
        <w:t>U</w:t>
      </w:r>
      <w:r>
        <w:rPr>
          <w:rFonts w:hint="eastAsia" w:ascii="宋体" w:hAnsi="宋体" w:cs="宋体"/>
        </w:rPr>
        <w:t>盘退还给供应商；若解锁失败，则由采购代理机构将</w:t>
      </w:r>
      <w:r>
        <w:rPr>
          <w:rFonts w:ascii="宋体" w:hAnsi="宋体" w:cs="宋体"/>
        </w:rPr>
        <w:t>U</w:t>
      </w:r>
      <w:r>
        <w:rPr>
          <w:rFonts w:hint="eastAsia" w:ascii="宋体" w:hAnsi="宋体" w:cs="宋体"/>
        </w:rPr>
        <w:t>盘中的备份文件上传，该</w:t>
      </w:r>
      <w:r>
        <w:rPr>
          <w:rFonts w:ascii="宋体" w:hAnsi="宋体" w:cs="宋体"/>
        </w:rPr>
        <w:t>U</w:t>
      </w:r>
      <w:r>
        <w:rPr>
          <w:rFonts w:hint="eastAsia" w:ascii="宋体" w:hAnsi="宋体" w:cs="宋体"/>
        </w:rPr>
        <w:t>盘将由采购代理机构保存。</w:t>
      </w:r>
    </w:p>
    <w:p>
      <w:pPr>
        <w:pStyle w:val="53"/>
        <w:spacing w:before="0"/>
        <w:ind w:firstLine="480"/>
        <w:rPr>
          <w:rFonts w:ascii="宋体"/>
        </w:rPr>
      </w:pPr>
      <w:r>
        <w:rPr>
          <w:rFonts w:ascii="宋体" w:hAnsi="宋体" w:cs="宋体"/>
        </w:rPr>
        <w:t>4.5</w:t>
      </w:r>
      <w:r>
        <w:rPr>
          <w:rFonts w:hint="eastAsia" w:ascii="宋体" w:hAnsi="宋体" w:cs="宋体"/>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sz w:val="24"/>
          <w:szCs w:val="24"/>
        </w:rPr>
      </w:pPr>
      <w:r>
        <w:rPr>
          <w:rFonts w:ascii="宋体" w:hAnsi="宋体" w:cs="宋体"/>
          <w:sz w:val="24"/>
          <w:szCs w:val="24"/>
        </w:rPr>
        <w:t>5</w:t>
      </w:r>
      <w:r>
        <w:rPr>
          <w:rFonts w:hint="eastAsia" w:ascii="宋体" w:hAnsi="宋体" w:cs="宋体"/>
          <w:sz w:val="24"/>
          <w:szCs w:val="24"/>
        </w:rPr>
        <w:t>.组建磋商小组</w:t>
      </w:r>
    </w:p>
    <w:p>
      <w:pPr>
        <w:pStyle w:val="53"/>
        <w:spacing w:before="0"/>
        <w:ind w:firstLine="480"/>
        <w:rPr>
          <w:rFonts w:ascii="宋体"/>
        </w:rPr>
      </w:pPr>
      <w:r>
        <w:rPr>
          <w:rFonts w:ascii="宋体" w:hAnsi="宋体" w:cs="宋体"/>
        </w:rPr>
        <w:t>5.1</w:t>
      </w:r>
      <w:r>
        <w:rPr>
          <w:rFonts w:hint="eastAsia" w:ascii="宋体" w:hAnsi="宋体" w:cs="宋体"/>
        </w:rPr>
        <w:t>磋商小组由采购人代表和评审专家共</w:t>
      </w:r>
      <w:r>
        <w:rPr>
          <w:rFonts w:ascii="宋体" w:hAnsi="宋体" w:cs="宋体"/>
        </w:rPr>
        <w:t>3</w:t>
      </w:r>
      <w:r>
        <w:rPr>
          <w:rFonts w:hint="eastAsia" w:ascii="宋体" w:hAnsi="宋体" w:cs="宋体"/>
        </w:rPr>
        <w:t>人或以上单数组成，其中评审专家人数不少于磋商小组成员总数的</w:t>
      </w:r>
      <w:r>
        <w:rPr>
          <w:rFonts w:ascii="宋体" w:hAnsi="宋体" w:cs="宋体"/>
        </w:rPr>
        <w:t>2/3</w:t>
      </w:r>
      <w:r>
        <w:rPr>
          <w:rFonts w:hint="eastAsia" w:ascii="宋体" w:hAnsi="宋体" w:cs="宋体"/>
        </w:rPr>
        <w:t>。</w:t>
      </w:r>
    </w:p>
    <w:p>
      <w:pPr>
        <w:pStyle w:val="53"/>
        <w:tabs>
          <w:tab w:val="left" w:pos="0"/>
        </w:tabs>
        <w:spacing w:before="0"/>
        <w:ind w:firstLine="480"/>
        <w:rPr>
          <w:rFonts w:ascii="宋体"/>
          <w:lang w:val="zh-CN"/>
        </w:rPr>
      </w:pPr>
      <w:r>
        <w:rPr>
          <w:rFonts w:ascii="宋体" w:hAnsi="宋体" w:cs="宋体"/>
        </w:rPr>
        <w:t>5.2</w:t>
      </w:r>
      <w:r>
        <w:rPr>
          <w:rFonts w:hint="eastAsia" w:ascii="宋体" w:hAnsi="宋体" w:cs="宋体"/>
          <w:lang w:val="zh-CN"/>
        </w:rPr>
        <w:t>评标工作由评标委员会负责，并推选产生的组长主持；</w:t>
      </w:r>
    </w:p>
    <w:p>
      <w:pPr>
        <w:pStyle w:val="5"/>
        <w:spacing w:line="360" w:lineRule="auto"/>
        <w:ind w:firstLine="480" w:firstLineChars="200"/>
        <w:rPr>
          <w:rFonts w:ascii="宋体"/>
          <w:sz w:val="24"/>
          <w:szCs w:val="24"/>
        </w:rPr>
      </w:pPr>
      <w:r>
        <w:rPr>
          <w:rFonts w:ascii="宋体" w:hAnsi="宋体" w:cs="宋体"/>
          <w:sz w:val="24"/>
          <w:szCs w:val="24"/>
        </w:rPr>
        <w:t>5.3</w:t>
      </w:r>
      <w:r>
        <w:rPr>
          <w:rFonts w:hint="eastAsia" w:ascii="宋体" w:hAnsi="宋体" w:cs="宋体"/>
          <w:sz w:val="24"/>
          <w:szCs w:val="24"/>
          <w:lang w:val="zh-CN"/>
        </w:rPr>
        <w:t>本次评标为在线评标。</w:t>
      </w:r>
    </w:p>
    <w:p>
      <w:pPr>
        <w:pStyle w:val="4"/>
        <w:numPr>
          <w:ilvl w:val="0"/>
          <w:numId w:val="16"/>
        </w:numPr>
        <w:jc w:val="center"/>
        <w:rPr>
          <w:rFonts w:cs="Times New Roman"/>
        </w:rPr>
      </w:pPr>
      <w:r>
        <w:t xml:space="preserve"> </w:t>
      </w:r>
      <w:bookmarkStart w:id="75" w:name="_Toc10093"/>
      <w:bookmarkStart w:id="76" w:name="_Toc9387"/>
      <w:r>
        <w:rPr>
          <w:rFonts w:hint="eastAsia"/>
        </w:rPr>
        <w:t>磋商程序</w:t>
      </w:r>
      <w:bookmarkEnd w:id="75"/>
      <w:bookmarkEnd w:id="76"/>
    </w:p>
    <w:p>
      <w:pPr>
        <w:snapToGrid w:val="0"/>
        <w:spacing w:line="360" w:lineRule="auto"/>
        <w:ind w:firstLine="480"/>
        <w:rPr>
          <w:rFonts w:ascii="宋体"/>
          <w:b/>
          <w:bCs/>
          <w:sz w:val="24"/>
          <w:szCs w:val="24"/>
        </w:rPr>
      </w:pPr>
      <w:r>
        <w:rPr>
          <w:rFonts w:ascii="宋体" w:hAnsi="宋体" w:cs="宋体"/>
          <w:b/>
          <w:bCs/>
          <w:sz w:val="24"/>
          <w:szCs w:val="24"/>
        </w:rPr>
        <w:t>1</w:t>
      </w:r>
      <w:r>
        <w:rPr>
          <w:rFonts w:hint="eastAsia" w:ascii="宋体" w:hAnsi="宋体" w:cs="宋体"/>
          <w:b/>
          <w:bCs/>
          <w:sz w:val="24"/>
          <w:szCs w:val="24"/>
        </w:rPr>
        <w:t>.对所有响应文件的初审</w:t>
      </w:r>
    </w:p>
    <w:p>
      <w:pPr>
        <w:adjustRightInd w:val="0"/>
        <w:snapToGrid w:val="0"/>
        <w:spacing w:line="360" w:lineRule="auto"/>
        <w:ind w:firstLine="480"/>
        <w:rPr>
          <w:rFonts w:ascii="宋体"/>
          <w:sz w:val="24"/>
          <w:szCs w:val="24"/>
        </w:rPr>
      </w:pPr>
      <w:r>
        <w:rPr>
          <w:rFonts w:ascii="宋体" w:hAnsi="宋体" w:cs="宋体"/>
          <w:sz w:val="24"/>
          <w:szCs w:val="24"/>
        </w:rPr>
        <w:t>1.1</w:t>
      </w:r>
      <w:r>
        <w:rPr>
          <w:rFonts w:hint="eastAsia" w:ascii="宋体" w:hAnsi="宋体" w:cs="宋体"/>
          <w:sz w:val="24"/>
          <w:szCs w:val="24"/>
        </w:rPr>
        <w:t>资格审查</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）开标后，磋商小组将依法对供应商的资格进行审查。</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sz w:val="24"/>
          <w:szCs w:val="24"/>
        </w:rPr>
        <w:t>.</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）采购人或采购代理机构将通过“信用中国”网站</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ascii="宋体"/>
          <w:sz w:val="24"/>
          <w:szCs w:val="24"/>
        </w:rPr>
      </w:pPr>
      <w:r>
        <w:rPr>
          <w:rFonts w:ascii="宋体" w:hAnsi="宋体" w:cs="宋体"/>
          <w:sz w:val="24"/>
          <w:szCs w:val="24"/>
        </w:rPr>
        <w:t>1.2</w:t>
      </w:r>
      <w:r>
        <w:rPr>
          <w:rFonts w:hint="eastAsia" w:ascii="宋体" w:hAnsi="宋体" w:cs="宋体"/>
          <w:sz w:val="24"/>
          <w:szCs w:val="24"/>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）响应文件无法定代表人或其委托授权代表签名或盖章。</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）响应文件内容虚假的。</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）响应文件有采购人不能接受的附加条件的。</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）磋商有效期、服务期等商务条款不能满足磋商文件要求的。</w:t>
      </w:r>
    </w:p>
    <w:p>
      <w:pPr>
        <w:widowControl/>
        <w:spacing w:line="360" w:lineRule="auto"/>
        <w:ind w:firstLine="482"/>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）投标价格超出预算或最高限价，导致采购单位无法支付的。</w:t>
      </w:r>
    </w:p>
    <w:p>
      <w:pPr>
        <w:widowControl/>
        <w:spacing w:line="360" w:lineRule="auto"/>
        <w:ind w:firstLine="482"/>
        <w:jc w:val="left"/>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）磋商文件明确规定的其他无效条款的。</w:t>
      </w:r>
    </w:p>
    <w:p>
      <w:pPr>
        <w:adjustRightInd w:val="0"/>
        <w:snapToGrid w:val="0"/>
        <w:spacing w:line="360" w:lineRule="auto"/>
        <w:ind w:firstLine="480"/>
        <w:rPr>
          <w:rFonts w:ascii="宋体"/>
          <w:sz w:val="24"/>
          <w:szCs w:val="24"/>
        </w:rPr>
      </w:pPr>
      <w:r>
        <w:rPr>
          <w:rFonts w:ascii="宋体" w:hAnsi="宋体" w:cs="宋体"/>
          <w:sz w:val="24"/>
          <w:szCs w:val="24"/>
        </w:rPr>
        <w:t xml:space="preserve">1.3 </w:t>
      </w:r>
      <w:r>
        <w:rPr>
          <w:rFonts w:hint="eastAsia" w:ascii="宋体" w:hAnsi="宋体" w:cs="宋体"/>
          <w:sz w:val="24"/>
          <w:szCs w:val="24"/>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3"/>
        <w:tabs>
          <w:tab w:val="left" w:pos="0"/>
        </w:tabs>
        <w:spacing w:before="0"/>
        <w:ind w:firstLine="480"/>
        <w:rPr>
          <w:rFonts w:ascii="宋体"/>
        </w:rPr>
      </w:pPr>
      <w:r>
        <w:rPr>
          <w:rFonts w:ascii="宋体" w:hAnsi="宋体" w:cs="宋体"/>
        </w:rPr>
        <w:t>1.4</w:t>
      </w:r>
      <w:r>
        <w:rPr>
          <w:rFonts w:hint="eastAsia" w:ascii="宋体" w:hAnsi="宋体" w:cs="宋体"/>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b/>
          <w:bCs/>
          <w:sz w:val="24"/>
          <w:szCs w:val="24"/>
          <w:lang w:val="zh-CN"/>
        </w:rPr>
      </w:pPr>
      <w:r>
        <w:rPr>
          <w:rFonts w:ascii="宋体" w:hAnsi="宋体" w:cs="宋体"/>
          <w:b/>
          <w:bCs/>
          <w:sz w:val="24"/>
          <w:szCs w:val="24"/>
        </w:rPr>
        <w:t>2</w:t>
      </w:r>
      <w:r>
        <w:rPr>
          <w:rFonts w:hint="eastAsia" w:ascii="宋体" w:hAnsi="宋体" w:cs="宋体"/>
          <w:b/>
          <w:bCs/>
          <w:sz w:val="24"/>
          <w:szCs w:val="24"/>
        </w:rPr>
        <w:t>.</w:t>
      </w:r>
      <w:r>
        <w:rPr>
          <w:rFonts w:hint="eastAsia" w:ascii="宋体" w:hAnsi="宋体" w:cs="宋体"/>
          <w:b/>
          <w:bCs/>
          <w:sz w:val="24"/>
          <w:szCs w:val="24"/>
          <w:lang w:val="zh-CN"/>
        </w:rPr>
        <w:t>磋商</w:t>
      </w:r>
    </w:p>
    <w:p>
      <w:pPr>
        <w:snapToGrid w:val="0"/>
        <w:spacing w:line="360" w:lineRule="auto"/>
        <w:ind w:firstLine="480"/>
        <w:rPr>
          <w:rFonts w:ascii="宋体"/>
          <w:sz w:val="24"/>
          <w:szCs w:val="24"/>
        </w:rPr>
      </w:pPr>
      <w:r>
        <w:rPr>
          <w:rFonts w:ascii="宋体" w:hAnsi="宋体" w:cs="宋体"/>
          <w:sz w:val="24"/>
          <w:szCs w:val="24"/>
        </w:rPr>
        <w:t xml:space="preserve">2.1 </w:t>
      </w:r>
      <w:r>
        <w:rPr>
          <w:rFonts w:hint="eastAsia" w:ascii="宋体" w:hAnsi="宋体" w:cs="宋体"/>
          <w:sz w:val="24"/>
          <w:szCs w:val="24"/>
        </w:rPr>
        <w:t>初审合格的供应商进入下一步的磋商活动。</w:t>
      </w:r>
    </w:p>
    <w:p>
      <w:pPr>
        <w:snapToGrid w:val="0"/>
        <w:spacing w:line="360" w:lineRule="auto"/>
        <w:ind w:firstLine="480"/>
        <w:rPr>
          <w:rFonts w:ascii="宋体"/>
          <w:sz w:val="24"/>
          <w:szCs w:val="24"/>
        </w:rPr>
      </w:pPr>
      <w:r>
        <w:rPr>
          <w:rFonts w:ascii="宋体" w:hAnsi="宋体" w:cs="宋体"/>
          <w:sz w:val="24"/>
          <w:szCs w:val="24"/>
        </w:rPr>
        <w:t xml:space="preserve">2.2 </w:t>
      </w:r>
      <w:r>
        <w:rPr>
          <w:rFonts w:hint="eastAsia" w:ascii="宋体" w:hAnsi="宋体" w:cs="宋体"/>
          <w:sz w:val="24"/>
          <w:szCs w:val="24"/>
        </w:rPr>
        <w:t>磋商小组所有成员应当集中与单一供应商分别进行磋商，并给予所有参加磋商的供应商平等的磋商机会。</w:t>
      </w:r>
    </w:p>
    <w:p>
      <w:pPr>
        <w:snapToGrid w:val="0"/>
        <w:spacing w:line="360" w:lineRule="auto"/>
        <w:ind w:firstLine="480"/>
        <w:rPr>
          <w:rFonts w:ascii="宋体"/>
          <w:sz w:val="24"/>
          <w:szCs w:val="24"/>
        </w:rPr>
      </w:pPr>
      <w:r>
        <w:rPr>
          <w:rFonts w:ascii="宋体" w:hAnsi="宋体" w:cs="宋体"/>
          <w:sz w:val="24"/>
          <w:szCs w:val="24"/>
        </w:rPr>
        <w:t xml:space="preserve">2.3 </w:t>
      </w:r>
      <w:r>
        <w:rPr>
          <w:rFonts w:hint="eastAsia" w:ascii="宋体" w:hAnsi="宋体" w:cs="宋体"/>
          <w:sz w:val="24"/>
          <w:szCs w:val="24"/>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Pr>
          <w:rFonts w:ascii="宋体" w:hAnsi="宋体" w:cs="宋体"/>
          <w:sz w:val="24"/>
          <w:szCs w:val="24"/>
        </w:rPr>
        <w:t xml:space="preserve"> </w:t>
      </w:r>
    </w:p>
    <w:p>
      <w:pPr>
        <w:snapToGrid w:val="0"/>
        <w:spacing w:line="360" w:lineRule="auto"/>
        <w:ind w:firstLine="480"/>
        <w:rPr>
          <w:rFonts w:ascii="宋体"/>
          <w:sz w:val="24"/>
          <w:szCs w:val="24"/>
        </w:rPr>
      </w:pPr>
      <w:r>
        <w:rPr>
          <w:rFonts w:ascii="宋体" w:hAnsi="宋体" w:cs="宋体"/>
          <w:sz w:val="24"/>
          <w:szCs w:val="24"/>
        </w:rPr>
        <w:t xml:space="preserve">2.4 </w:t>
      </w:r>
      <w:r>
        <w:rPr>
          <w:rFonts w:hint="eastAsia" w:ascii="宋体" w:hAnsi="宋体" w:cs="宋体"/>
          <w:sz w:val="24"/>
          <w:szCs w:val="24"/>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sz w:val="24"/>
          <w:szCs w:val="24"/>
        </w:rPr>
      </w:pPr>
      <w:r>
        <w:rPr>
          <w:rFonts w:ascii="宋体" w:hAnsi="宋体" w:cs="宋体"/>
          <w:sz w:val="24"/>
          <w:szCs w:val="24"/>
        </w:rPr>
        <w:t xml:space="preserve">2.5 </w:t>
      </w:r>
      <w:r>
        <w:rPr>
          <w:rFonts w:hint="eastAsia" w:ascii="宋体" w:hAnsi="宋体" w:cs="宋体"/>
          <w:sz w:val="24"/>
          <w:szCs w:val="24"/>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sz w:val="24"/>
          <w:szCs w:val="24"/>
        </w:rPr>
      </w:pPr>
      <w:r>
        <w:rPr>
          <w:rFonts w:ascii="宋体" w:hAnsi="宋体" w:cs="宋体"/>
          <w:sz w:val="24"/>
          <w:szCs w:val="24"/>
        </w:rPr>
        <w:t xml:space="preserve">2.6 </w:t>
      </w:r>
      <w:r>
        <w:rPr>
          <w:rFonts w:hint="eastAsia" w:ascii="宋体" w:hAnsi="宋体" w:cs="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sz w:val="24"/>
          <w:szCs w:val="24"/>
        </w:rPr>
      </w:pPr>
      <w:r>
        <w:rPr>
          <w:rFonts w:ascii="宋体" w:hAnsi="宋体" w:cs="宋体"/>
          <w:sz w:val="24"/>
          <w:szCs w:val="24"/>
        </w:rPr>
        <w:t xml:space="preserve">2.7 </w:t>
      </w:r>
      <w:r>
        <w:rPr>
          <w:rFonts w:hint="eastAsia" w:ascii="宋体" w:hAnsi="宋体" w:cs="宋体"/>
          <w:sz w:val="24"/>
          <w:szCs w:val="24"/>
        </w:rPr>
        <w:t>符合《政府采购竞争性磋商采购方式管理暂行办法》（财库〔</w:t>
      </w:r>
      <w:r>
        <w:rPr>
          <w:rFonts w:ascii="宋体" w:hAnsi="宋体" w:cs="宋体"/>
          <w:sz w:val="24"/>
          <w:szCs w:val="24"/>
        </w:rPr>
        <w:t>2014</w:t>
      </w:r>
      <w:r>
        <w:rPr>
          <w:rFonts w:hint="eastAsia" w:ascii="宋体" w:hAnsi="宋体" w:cs="宋体"/>
          <w:sz w:val="24"/>
          <w:szCs w:val="24"/>
        </w:rPr>
        <w:t>〕</w:t>
      </w:r>
      <w:r>
        <w:rPr>
          <w:rFonts w:ascii="宋体" w:hAnsi="宋体" w:cs="宋体"/>
          <w:sz w:val="24"/>
          <w:szCs w:val="24"/>
        </w:rPr>
        <w:t>214</w:t>
      </w:r>
      <w:r>
        <w:rPr>
          <w:rFonts w:hint="eastAsia" w:ascii="宋体" w:hAnsi="宋体" w:cs="宋体"/>
          <w:sz w:val="24"/>
          <w:szCs w:val="24"/>
        </w:rPr>
        <w:t>号）第三条第四项即“市场竞争不充分的科研项目，以及需要扶持的科技成果转化项目”情形的，提交最后报价的供应商可以为</w:t>
      </w:r>
      <w:r>
        <w:rPr>
          <w:rFonts w:ascii="宋体" w:hAnsi="宋体" w:cs="宋体"/>
          <w:sz w:val="24"/>
          <w:szCs w:val="24"/>
        </w:rPr>
        <w:t>2</w:t>
      </w:r>
      <w:r>
        <w:rPr>
          <w:rFonts w:hint="eastAsia" w:ascii="宋体" w:hAnsi="宋体" w:cs="宋体"/>
          <w:sz w:val="24"/>
          <w:szCs w:val="24"/>
        </w:rPr>
        <w:t>家。</w:t>
      </w:r>
    </w:p>
    <w:p>
      <w:pPr>
        <w:snapToGrid w:val="0"/>
        <w:spacing w:line="360" w:lineRule="auto"/>
        <w:ind w:firstLine="480" w:firstLineChars="200"/>
        <w:rPr>
          <w:rFonts w:ascii="宋体"/>
          <w:sz w:val="24"/>
          <w:szCs w:val="24"/>
        </w:rPr>
      </w:pPr>
      <w:r>
        <w:rPr>
          <w:rFonts w:ascii="宋体" w:hAnsi="宋体" w:cs="宋体"/>
          <w:sz w:val="24"/>
          <w:szCs w:val="24"/>
        </w:rPr>
        <w:t xml:space="preserve">2.8 </w:t>
      </w:r>
      <w:r>
        <w:rPr>
          <w:rFonts w:hint="eastAsia" w:ascii="宋体" w:hAnsi="宋体" w:cs="宋体"/>
          <w:sz w:val="24"/>
          <w:szCs w:val="24"/>
        </w:rPr>
        <w:t>采用竞争性磋商采购方式采购的政府购买服务项目（含政府和社会资本合作项目），在采购过程中符合要求的供应商（社会资本）只有</w:t>
      </w:r>
      <w:r>
        <w:rPr>
          <w:rFonts w:ascii="宋体" w:hAnsi="宋体" w:cs="宋体"/>
          <w:sz w:val="24"/>
          <w:szCs w:val="24"/>
        </w:rPr>
        <w:t>2</w:t>
      </w:r>
      <w:r>
        <w:rPr>
          <w:rFonts w:hint="eastAsia" w:ascii="宋体" w:hAnsi="宋体" w:cs="宋体"/>
          <w:sz w:val="24"/>
          <w:szCs w:val="24"/>
        </w:rPr>
        <w:t>家的，竞争性磋商采购活动可以继续进行。采购过程中符合要求的供应商（社会资本）只有</w:t>
      </w:r>
      <w:r>
        <w:rPr>
          <w:rFonts w:ascii="宋体" w:hAnsi="宋体" w:cs="宋体"/>
          <w:sz w:val="24"/>
          <w:szCs w:val="24"/>
        </w:rPr>
        <w:t>1</w:t>
      </w:r>
      <w:r>
        <w:rPr>
          <w:rFonts w:hint="eastAsia" w:ascii="宋体" w:hAnsi="宋体" w:cs="宋体"/>
          <w:sz w:val="24"/>
          <w:szCs w:val="24"/>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b/>
          <w:bCs/>
          <w:sz w:val="24"/>
          <w:szCs w:val="24"/>
          <w:lang w:val="zh-CN"/>
        </w:rPr>
      </w:pPr>
      <w:r>
        <w:rPr>
          <w:rFonts w:ascii="宋体" w:hAnsi="宋体" w:cs="宋体"/>
          <w:b/>
          <w:bCs/>
          <w:sz w:val="24"/>
          <w:szCs w:val="24"/>
        </w:rPr>
        <w:t>3</w:t>
      </w:r>
      <w:r>
        <w:rPr>
          <w:rFonts w:hint="eastAsia" w:ascii="宋体" w:hAnsi="宋体" w:cs="宋体"/>
          <w:b/>
          <w:bCs/>
          <w:sz w:val="24"/>
          <w:szCs w:val="24"/>
        </w:rPr>
        <w:t>.</w:t>
      </w:r>
      <w:r>
        <w:rPr>
          <w:rFonts w:hint="eastAsia" w:ascii="宋体" w:hAnsi="宋体" w:cs="宋体"/>
          <w:b/>
          <w:bCs/>
          <w:sz w:val="24"/>
          <w:szCs w:val="24"/>
          <w:lang w:val="zh-CN"/>
        </w:rPr>
        <w:t>最后报价</w:t>
      </w:r>
    </w:p>
    <w:p>
      <w:pPr>
        <w:snapToGrid w:val="0"/>
        <w:spacing w:line="360" w:lineRule="auto"/>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商务技术汇总后，供应商开启报价文件，磋商小组应当要求所有实质性响应的供应商在规定时间内提交最后报价。</w:t>
      </w:r>
    </w:p>
    <w:p>
      <w:pPr>
        <w:snapToGrid w:val="0"/>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最后报价是供应商响应文件的有效组成部分，若最后报价高于响应文件报价文件报价，则以第一次报价计入评分。</w:t>
      </w:r>
    </w:p>
    <w:p>
      <w:pPr>
        <w:snapToGrid w:val="0"/>
        <w:spacing w:line="360" w:lineRule="auto"/>
        <w:ind w:firstLine="480" w:firstLineChars="200"/>
        <w:rPr>
          <w:rFonts w:ascii="宋体"/>
          <w:sz w:val="24"/>
          <w:szCs w:val="24"/>
        </w:rPr>
      </w:pPr>
      <w:r>
        <w:rPr>
          <w:rFonts w:ascii="宋体" w:hAnsi="宋体" w:cs="宋体"/>
          <w:sz w:val="24"/>
          <w:szCs w:val="24"/>
        </w:rPr>
        <w:t>3.3</w:t>
      </w:r>
      <w:r>
        <w:rPr>
          <w:rFonts w:hint="eastAsia" w:ascii="宋体" w:hAnsi="宋体" w:cs="宋体"/>
          <w:sz w:val="24"/>
          <w:szCs w:val="24"/>
        </w:rPr>
        <w:t>已提交响应文件的供应商，在提交最后报价之前，若因磋商文件实质性变动导致供应商无法满足采购需求的，允许供应商退出磋商。</w:t>
      </w:r>
    </w:p>
    <w:p>
      <w:pPr>
        <w:pStyle w:val="5"/>
        <w:spacing w:line="360" w:lineRule="auto"/>
        <w:ind w:firstLine="482" w:firstLineChars="200"/>
        <w:rPr>
          <w:rFonts w:ascii="宋体"/>
          <w:b/>
          <w:bCs/>
          <w:sz w:val="24"/>
          <w:szCs w:val="24"/>
        </w:rPr>
      </w:pPr>
      <w:r>
        <w:rPr>
          <w:rFonts w:ascii="宋体" w:hAnsi="宋体" w:cs="宋体"/>
          <w:b/>
          <w:bCs/>
          <w:sz w:val="24"/>
          <w:szCs w:val="24"/>
        </w:rPr>
        <w:t>4</w:t>
      </w:r>
      <w:r>
        <w:rPr>
          <w:rFonts w:hint="eastAsia" w:ascii="宋体" w:hAnsi="宋体" w:cs="宋体"/>
          <w:b/>
          <w:bCs/>
          <w:sz w:val="24"/>
          <w:szCs w:val="24"/>
        </w:rPr>
        <w:t>.电子评标</w:t>
      </w:r>
    </w:p>
    <w:p>
      <w:pPr>
        <w:pStyle w:val="5"/>
        <w:spacing w:line="360" w:lineRule="auto"/>
        <w:ind w:firstLine="0"/>
        <w:rPr>
          <w:rFonts w:ascii="宋体"/>
          <w:sz w:val="24"/>
          <w:szCs w:val="24"/>
        </w:rPr>
      </w:pPr>
      <w:r>
        <w:rPr>
          <w:rFonts w:ascii="宋体" w:hAnsi="宋体" w:cs="宋体"/>
          <w:sz w:val="24"/>
          <w:szCs w:val="24"/>
        </w:rPr>
        <w:t xml:space="preserve">    4.1</w:t>
      </w:r>
      <w:r>
        <w:rPr>
          <w:rFonts w:hint="eastAsia" w:ascii="宋体" w:hAnsi="宋体" w:cs="宋体"/>
          <w:sz w:val="24"/>
          <w:szCs w:val="24"/>
        </w:rPr>
        <w:t>磋商活动由采购代理机构主持</w:t>
      </w:r>
      <w:r>
        <w:rPr>
          <w:rFonts w:ascii="宋体" w:cs="宋体"/>
          <w:sz w:val="24"/>
          <w:szCs w:val="24"/>
        </w:rPr>
        <w:t>,</w:t>
      </w:r>
      <w:r>
        <w:rPr>
          <w:rFonts w:hint="eastAsia" w:ascii="宋体" w:hAnsi="宋体" w:cs="宋体"/>
          <w:sz w:val="24"/>
          <w:szCs w:val="24"/>
        </w:rPr>
        <w:t>磋商响应截止时间后</w:t>
      </w:r>
      <w:r>
        <w:rPr>
          <w:rFonts w:ascii="宋体" w:cs="宋体"/>
          <w:sz w:val="24"/>
          <w:szCs w:val="24"/>
        </w:rPr>
        <w:t>,</w:t>
      </w:r>
      <w:r>
        <w:rPr>
          <w:rFonts w:hint="eastAsia" w:ascii="宋体" w:hAnsi="宋体" w:cs="宋体"/>
          <w:sz w:val="24"/>
          <w:szCs w:val="24"/>
        </w:rPr>
        <w:t>供应商登录政采云平台对电子响应文件进行在线解密；</w:t>
      </w:r>
    </w:p>
    <w:p>
      <w:pPr>
        <w:pStyle w:val="5"/>
        <w:spacing w:line="360" w:lineRule="auto"/>
        <w:ind w:firstLine="480" w:firstLineChars="200"/>
        <w:rPr>
          <w:rFonts w:ascii="宋体"/>
          <w:sz w:val="24"/>
          <w:szCs w:val="24"/>
        </w:rPr>
      </w:pPr>
      <w:r>
        <w:rPr>
          <w:rFonts w:ascii="宋体" w:hAnsi="宋体" w:cs="宋体"/>
          <w:sz w:val="24"/>
          <w:szCs w:val="24"/>
        </w:rPr>
        <w:t>4.2</w:t>
      </w:r>
      <w:r>
        <w:rPr>
          <w:rFonts w:hint="eastAsia" w:ascii="宋体" w:hAnsi="宋体" w:cs="宋体"/>
          <w:sz w:val="24"/>
          <w:szCs w:val="24"/>
        </w:rPr>
        <w:t>响应文件解密结束</w:t>
      </w:r>
      <w:r>
        <w:rPr>
          <w:rFonts w:ascii="宋体" w:cs="宋体"/>
          <w:sz w:val="24"/>
          <w:szCs w:val="24"/>
        </w:rPr>
        <w:t>,</w:t>
      </w:r>
      <w:r>
        <w:rPr>
          <w:rFonts w:hint="eastAsia" w:ascii="宋体" w:hAnsi="宋体" w:cs="宋体"/>
          <w:sz w:val="24"/>
          <w:szCs w:val="24"/>
        </w:rPr>
        <w:t>开启响应文件</w:t>
      </w:r>
      <w:r>
        <w:rPr>
          <w:rFonts w:ascii="宋体" w:cs="宋体"/>
          <w:sz w:val="24"/>
          <w:szCs w:val="24"/>
        </w:rPr>
        <w:t>,</w:t>
      </w:r>
      <w:r>
        <w:rPr>
          <w:rFonts w:hint="eastAsia" w:ascii="宋体" w:hAnsi="宋体" w:cs="宋体"/>
          <w:sz w:val="24"/>
          <w:szCs w:val="24"/>
        </w:rPr>
        <w:t>磋商小组对资格和商务技术响应文件进行资格审查和符合性审查；</w:t>
      </w:r>
    </w:p>
    <w:p>
      <w:pPr>
        <w:pStyle w:val="5"/>
        <w:spacing w:line="360" w:lineRule="auto"/>
        <w:ind w:firstLine="480" w:firstLineChars="200"/>
        <w:rPr>
          <w:rFonts w:ascii="宋体"/>
          <w:sz w:val="24"/>
          <w:szCs w:val="24"/>
        </w:rPr>
      </w:pPr>
      <w:r>
        <w:rPr>
          <w:rFonts w:ascii="宋体" w:hAnsi="宋体" w:cs="宋体"/>
          <w:sz w:val="24"/>
          <w:szCs w:val="24"/>
        </w:rPr>
        <w:t>4.3</w:t>
      </w:r>
      <w:r>
        <w:rPr>
          <w:rFonts w:hint="eastAsia" w:ascii="宋体" w:hAnsi="宋体" w:cs="宋体"/>
          <w:sz w:val="24"/>
          <w:szCs w:val="24"/>
        </w:rPr>
        <w:t>供应商按递交磋商响应文件的前后顺序决定磋商的顺序</w:t>
      </w:r>
      <w:r>
        <w:rPr>
          <w:rFonts w:ascii="宋体" w:cs="宋体"/>
          <w:sz w:val="24"/>
          <w:szCs w:val="24"/>
        </w:rPr>
        <w:t>,</w:t>
      </w:r>
      <w:r>
        <w:rPr>
          <w:rFonts w:hint="eastAsia" w:ascii="宋体" w:hAnsi="宋体" w:cs="宋体"/>
          <w:sz w:val="24"/>
          <w:szCs w:val="24"/>
        </w:rPr>
        <w:t>就价格、服务等认为需要磋商的内容进行磋商</w:t>
      </w:r>
      <w:r>
        <w:rPr>
          <w:rFonts w:ascii="宋体" w:cs="宋体"/>
          <w:sz w:val="24"/>
          <w:szCs w:val="24"/>
        </w:rPr>
        <w:t>,</w:t>
      </w:r>
      <w:r>
        <w:rPr>
          <w:rFonts w:hint="eastAsia" w:ascii="宋体" w:hAnsi="宋体" w:cs="宋体"/>
          <w:sz w:val="24"/>
          <w:szCs w:val="24"/>
        </w:rPr>
        <w:t>供应商逐家回答磋商小组的提问</w:t>
      </w:r>
      <w:r>
        <w:rPr>
          <w:rFonts w:ascii="宋体" w:cs="宋体"/>
          <w:sz w:val="24"/>
          <w:szCs w:val="24"/>
        </w:rPr>
        <w:t>,</w:t>
      </w:r>
      <w:r>
        <w:rPr>
          <w:rFonts w:hint="eastAsia" w:ascii="宋体" w:hAnsi="宋体" w:cs="宋体"/>
          <w:sz w:val="24"/>
          <w:szCs w:val="24"/>
        </w:rPr>
        <w:t>供应商作出最终承诺；</w:t>
      </w:r>
    </w:p>
    <w:p>
      <w:pPr>
        <w:pStyle w:val="5"/>
        <w:spacing w:line="360" w:lineRule="auto"/>
        <w:ind w:firstLine="480" w:firstLineChars="200"/>
        <w:rPr>
          <w:rFonts w:ascii="宋体"/>
          <w:sz w:val="24"/>
          <w:szCs w:val="24"/>
        </w:rPr>
      </w:pPr>
      <w:r>
        <w:rPr>
          <w:rFonts w:ascii="宋体" w:hAnsi="宋体" w:cs="宋体"/>
          <w:sz w:val="24"/>
          <w:szCs w:val="24"/>
        </w:rPr>
        <w:t>4.4</w:t>
      </w:r>
      <w:r>
        <w:rPr>
          <w:rFonts w:hint="eastAsia" w:ascii="宋体" w:hAnsi="宋体" w:cs="宋体"/>
          <w:sz w:val="24"/>
          <w:szCs w:val="24"/>
        </w:rPr>
        <w:t>磋商小组对商务技术响应文件进行评审；</w:t>
      </w:r>
    </w:p>
    <w:p>
      <w:pPr>
        <w:pStyle w:val="5"/>
        <w:spacing w:line="360" w:lineRule="auto"/>
        <w:ind w:firstLine="480" w:firstLineChars="200"/>
        <w:rPr>
          <w:rFonts w:ascii="宋体"/>
          <w:sz w:val="24"/>
          <w:szCs w:val="24"/>
        </w:rPr>
      </w:pPr>
      <w:r>
        <w:rPr>
          <w:rFonts w:ascii="宋体" w:hAnsi="宋体" w:cs="宋体"/>
          <w:sz w:val="24"/>
          <w:szCs w:val="24"/>
        </w:rPr>
        <w:t>4.5</w:t>
      </w:r>
      <w:r>
        <w:rPr>
          <w:rFonts w:hint="eastAsia" w:ascii="宋体" w:hAnsi="宋体" w:cs="宋体"/>
          <w:sz w:val="24"/>
          <w:szCs w:val="24"/>
        </w:rPr>
        <w:t>商务技术汇总后，供应商开启报价文件，进行磋商二次报价（最终报价），</w:t>
      </w:r>
      <w:r>
        <w:rPr>
          <w:rFonts w:hint="eastAsia" w:ascii="宋体" w:hAnsi="宋体" w:cs="宋体"/>
          <w:b/>
          <w:bCs/>
          <w:sz w:val="24"/>
          <w:szCs w:val="24"/>
        </w:rPr>
        <w:t>如果供应商在规定时间</w:t>
      </w:r>
      <w:r>
        <w:rPr>
          <w:rFonts w:ascii="宋体" w:hAnsi="宋体" w:cs="宋体"/>
          <w:b/>
          <w:bCs/>
          <w:sz w:val="24"/>
          <w:szCs w:val="24"/>
        </w:rPr>
        <w:t>30</w:t>
      </w:r>
      <w:r>
        <w:rPr>
          <w:rFonts w:hint="eastAsia" w:ascii="宋体" w:hAnsi="宋体" w:cs="宋体"/>
          <w:b/>
          <w:bCs/>
          <w:sz w:val="24"/>
          <w:szCs w:val="24"/>
        </w:rPr>
        <w:t>分钟内未提交第二次报价，视该供应商放弃本次投标，作无效标处理</w:t>
      </w:r>
      <w:r>
        <w:rPr>
          <w:rFonts w:hint="eastAsia" w:ascii="宋体" w:hAnsi="宋体" w:cs="宋体"/>
          <w:sz w:val="24"/>
          <w:szCs w:val="24"/>
        </w:rPr>
        <w:t>；</w:t>
      </w:r>
    </w:p>
    <w:p>
      <w:pPr>
        <w:pStyle w:val="5"/>
        <w:spacing w:line="360" w:lineRule="auto"/>
        <w:ind w:firstLine="480" w:firstLineChars="200"/>
        <w:rPr>
          <w:rFonts w:ascii="宋体"/>
          <w:sz w:val="24"/>
          <w:szCs w:val="24"/>
        </w:rPr>
      </w:pPr>
      <w:r>
        <w:rPr>
          <w:rFonts w:ascii="宋体" w:hAnsi="宋体" w:cs="宋体"/>
          <w:sz w:val="24"/>
          <w:szCs w:val="24"/>
        </w:rPr>
        <w:t>4.6</w:t>
      </w:r>
      <w:r>
        <w:rPr>
          <w:rFonts w:hint="eastAsia" w:ascii="宋体" w:hAnsi="宋体" w:cs="宋体"/>
          <w:sz w:val="24"/>
          <w:szCs w:val="24"/>
        </w:rPr>
        <w:t>在系统上开启最终报价情况；</w:t>
      </w:r>
    </w:p>
    <w:p>
      <w:pPr>
        <w:pStyle w:val="5"/>
        <w:spacing w:line="360" w:lineRule="auto"/>
        <w:ind w:firstLine="480" w:firstLineChars="200"/>
        <w:rPr>
          <w:rFonts w:ascii="宋体"/>
          <w:sz w:val="24"/>
          <w:szCs w:val="24"/>
        </w:rPr>
      </w:pPr>
      <w:r>
        <w:rPr>
          <w:rFonts w:ascii="宋体" w:hAnsi="宋体" w:cs="宋体"/>
          <w:sz w:val="24"/>
          <w:szCs w:val="24"/>
        </w:rPr>
        <w:t>4.7</w:t>
      </w:r>
      <w:r>
        <w:rPr>
          <w:rFonts w:hint="eastAsia" w:ascii="宋体" w:hAnsi="宋体" w:cs="宋体"/>
          <w:sz w:val="24"/>
          <w:szCs w:val="24"/>
        </w:rPr>
        <w:t>磋商小组对报价情况进行评审；</w:t>
      </w:r>
    </w:p>
    <w:p>
      <w:pPr>
        <w:pStyle w:val="5"/>
        <w:spacing w:line="360" w:lineRule="auto"/>
        <w:ind w:firstLine="480" w:firstLineChars="200"/>
        <w:rPr>
          <w:rFonts w:ascii="宋体"/>
          <w:sz w:val="24"/>
          <w:szCs w:val="24"/>
        </w:rPr>
      </w:pPr>
      <w:r>
        <w:rPr>
          <w:rFonts w:ascii="宋体" w:hAnsi="宋体" w:cs="宋体"/>
          <w:sz w:val="24"/>
          <w:szCs w:val="24"/>
        </w:rPr>
        <w:t>4.8</w:t>
      </w:r>
      <w:r>
        <w:rPr>
          <w:rFonts w:hint="eastAsia" w:ascii="宋体" w:hAnsi="宋体" w:cs="宋体"/>
          <w:sz w:val="24"/>
          <w:szCs w:val="24"/>
        </w:rPr>
        <w:t>在系统上公开资格和商务技术评审结果；</w:t>
      </w:r>
    </w:p>
    <w:p>
      <w:pPr>
        <w:pStyle w:val="5"/>
        <w:spacing w:line="360" w:lineRule="auto"/>
        <w:ind w:firstLine="480" w:firstLineChars="200"/>
        <w:rPr>
          <w:rFonts w:ascii="宋体"/>
          <w:sz w:val="24"/>
          <w:szCs w:val="24"/>
        </w:rPr>
      </w:pPr>
      <w:r>
        <w:rPr>
          <w:rFonts w:ascii="宋体" w:hAnsi="宋体" w:cs="宋体"/>
          <w:sz w:val="24"/>
          <w:szCs w:val="24"/>
        </w:rPr>
        <w:t>4.9</w:t>
      </w:r>
      <w:r>
        <w:rPr>
          <w:rFonts w:hint="eastAsia" w:ascii="宋体" w:hAnsi="宋体" w:cs="宋体"/>
          <w:sz w:val="24"/>
          <w:szCs w:val="24"/>
        </w:rPr>
        <w:t>在系统上公布评审结果。</w:t>
      </w:r>
    </w:p>
    <w:p>
      <w:pPr>
        <w:pStyle w:val="5"/>
        <w:spacing w:line="360" w:lineRule="auto"/>
        <w:ind w:firstLine="480" w:firstLineChars="200"/>
        <w:rPr>
          <w:rFonts w:ascii="宋体"/>
          <w:sz w:val="24"/>
          <w:szCs w:val="24"/>
        </w:rPr>
      </w:pPr>
      <w:r>
        <w:rPr>
          <w:rFonts w:ascii="宋体" w:hAnsi="宋体" w:cs="宋体"/>
          <w:sz w:val="24"/>
          <w:szCs w:val="24"/>
        </w:rPr>
        <w:t>4.10</w:t>
      </w:r>
      <w:r>
        <w:rPr>
          <w:rFonts w:hint="eastAsia" w:ascii="宋体" w:hAnsi="宋体" w:cs="宋体"/>
          <w:sz w:val="24"/>
          <w:szCs w:val="24"/>
        </w:rPr>
        <w:t>开标会结束。</w:t>
      </w:r>
    </w:p>
    <w:p>
      <w:pPr>
        <w:snapToGrid w:val="0"/>
        <w:spacing w:line="360" w:lineRule="auto"/>
        <w:ind w:firstLine="480" w:firstLineChars="200"/>
        <w:rPr>
          <w:rFonts w:ascii="宋体"/>
          <w:b/>
          <w:bCs/>
          <w:sz w:val="24"/>
          <w:szCs w:val="24"/>
        </w:rPr>
      </w:pPr>
      <w:r>
        <w:rPr>
          <w:rFonts w:hint="eastAsia" w:ascii="宋体" w:hAnsi="宋体" w:cs="宋体"/>
          <w:sz w:val="24"/>
          <w:szCs w:val="24"/>
        </w:rPr>
        <w:t>特别说明</w:t>
      </w:r>
      <w:r>
        <w:rPr>
          <w:rFonts w:ascii="宋体" w:hAnsi="宋体" w:cs="宋体"/>
          <w:sz w:val="24"/>
          <w:szCs w:val="24"/>
        </w:rPr>
        <w:t>:</w:t>
      </w:r>
      <w:r>
        <w:rPr>
          <w:rFonts w:hint="eastAsia" w:ascii="宋体" w:hAnsi="宋体" w:cs="宋体"/>
          <w:sz w:val="24"/>
          <w:szCs w:val="24"/>
        </w:rPr>
        <w:t>政采云如对电子化开标及评审程序有调整的</w:t>
      </w:r>
      <w:r>
        <w:rPr>
          <w:rFonts w:ascii="宋体" w:cs="宋体"/>
          <w:sz w:val="24"/>
          <w:szCs w:val="24"/>
        </w:rPr>
        <w:t>,</w:t>
      </w:r>
      <w:r>
        <w:rPr>
          <w:rFonts w:hint="eastAsia" w:ascii="宋体" w:hAnsi="宋体" w:cs="宋体"/>
          <w:sz w:val="24"/>
          <w:szCs w:val="24"/>
        </w:rPr>
        <w:t>按调整后的程序操作。</w:t>
      </w:r>
    </w:p>
    <w:p>
      <w:pPr>
        <w:snapToGrid w:val="0"/>
        <w:spacing w:line="360" w:lineRule="auto"/>
        <w:ind w:firstLine="482" w:firstLineChars="200"/>
        <w:rPr>
          <w:rFonts w:ascii="宋体"/>
          <w:b/>
          <w:bCs/>
          <w:sz w:val="24"/>
          <w:szCs w:val="24"/>
        </w:rPr>
      </w:pPr>
      <w:r>
        <w:rPr>
          <w:rFonts w:ascii="宋体" w:hAnsi="宋体" w:cs="宋体"/>
          <w:b/>
          <w:bCs/>
          <w:sz w:val="24"/>
          <w:szCs w:val="24"/>
        </w:rPr>
        <w:t>5</w:t>
      </w:r>
      <w:r>
        <w:rPr>
          <w:rFonts w:ascii="宋体" w:cs="宋体"/>
          <w:b/>
          <w:bCs/>
          <w:sz w:val="24"/>
          <w:szCs w:val="24"/>
        </w:rPr>
        <w:t>.</w:t>
      </w:r>
      <w:r>
        <w:rPr>
          <w:rFonts w:hint="eastAsia" w:ascii="宋体" w:hAnsi="宋体" w:cs="宋体"/>
          <w:b/>
          <w:bCs/>
          <w:sz w:val="24"/>
          <w:szCs w:val="24"/>
        </w:rPr>
        <w:t>综合评分</w:t>
      </w:r>
    </w:p>
    <w:p>
      <w:pPr>
        <w:tabs>
          <w:tab w:val="left" w:pos="-1080"/>
          <w:tab w:val="left" w:pos="180"/>
          <w:tab w:val="left" w:pos="1080"/>
        </w:tabs>
        <w:snapToGrid w:val="0"/>
        <w:spacing w:line="360" w:lineRule="auto"/>
        <w:ind w:firstLine="480"/>
        <w:rPr>
          <w:rFonts w:ascii="宋体"/>
          <w:kern w:val="0"/>
          <w:sz w:val="24"/>
          <w:szCs w:val="24"/>
        </w:rPr>
      </w:pPr>
      <w:r>
        <w:rPr>
          <w:rFonts w:ascii="宋体" w:hAnsi="宋体" w:cs="宋体"/>
          <w:sz w:val="24"/>
          <w:szCs w:val="24"/>
        </w:rPr>
        <w:t>5.1</w:t>
      </w:r>
      <w:r>
        <w:rPr>
          <w:rFonts w:hint="eastAsia" w:ascii="宋体" w:hAnsi="宋体" w:cs="宋体"/>
          <w:sz w:val="24"/>
          <w:szCs w:val="24"/>
        </w:rPr>
        <w:t>本评标办法采用综合评标法，由商务技术分和报价分合计组成，其中商务技术分</w:t>
      </w:r>
      <w:r>
        <w:rPr>
          <w:rFonts w:ascii="宋体" w:hAnsi="宋体" w:cs="宋体"/>
          <w:sz w:val="24"/>
          <w:szCs w:val="24"/>
          <w:u w:val="single"/>
        </w:rPr>
        <w:t xml:space="preserve"> </w:t>
      </w:r>
      <w:r>
        <w:rPr>
          <w:rFonts w:hint="eastAsia" w:ascii="宋体" w:hAnsi="宋体" w:cs="宋体"/>
          <w:sz w:val="24"/>
          <w:szCs w:val="24"/>
          <w:u w:val="single"/>
        </w:rPr>
        <w:t>80</w:t>
      </w:r>
      <w:r>
        <w:rPr>
          <w:rFonts w:ascii="宋体" w:hAnsi="宋体" w:cs="宋体"/>
          <w:sz w:val="24"/>
          <w:szCs w:val="24"/>
          <w:u w:val="single"/>
        </w:rPr>
        <w:t xml:space="preserve"> </w:t>
      </w:r>
      <w:r>
        <w:rPr>
          <w:rFonts w:hint="eastAsia" w:ascii="宋体" w:hAnsi="宋体" w:cs="宋体"/>
          <w:sz w:val="24"/>
          <w:szCs w:val="24"/>
        </w:rPr>
        <w:t>分、报价分</w:t>
      </w:r>
      <w:r>
        <w:rPr>
          <w:rFonts w:ascii="宋体" w:hAnsi="宋体" w:cs="宋体"/>
          <w:sz w:val="24"/>
          <w:szCs w:val="24"/>
          <w:u w:val="single"/>
        </w:rPr>
        <w:t xml:space="preserve"> </w:t>
      </w:r>
      <w:r>
        <w:rPr>
          <w:rFonts w:hint="eastAsia" w:ascii="宋体" w:hAnsi="宋体" w:cs="宋体"/>
          <w:sz w:val="24"/>
          <w:szCs w:val="24"/>
          <w:u w:val="single"/>
        </w:rPr>
        <w:t>20</w:t>
      </w:r>
      <w:r>
        <w:rPr>
          <w:rFonts w:ascii="宋体" w:hAnsi="宋体" w:cs="宋体"/>
          <w:sz w:val="24"/>
          <w:szCs w:val="24"/>
          <w:u w:val="single"/>
        </w:rPr>
        <w:t xml:space="preserve"> </w:t>
      </w:r>
      <w:r>
        <w:rPr>
          <w:rFonts w:hint="eastAsia" w:ascii="宋体" w:hAnsi="宋体" w:cs="宋体"/>
          <w:sz w:val="24"/>
          <w:szCs w:val="24"/>
        </w:rPr>
        <w:t>分；满分为</w:t>
      </w:r>
      <w:r>
        <w:rPr>
          <w:rFonts w:ascii="宋体" w:hAnsi="宋体" w:cs="宋体"/>
          <w:sz w:val="24"/>
          <w:szCs w:val="24"/>
        </w:rPr>
        <w:t>100</w:t>
      </w:r>
      <w:r>
        <w:rPr>
          <w:rFonts w:hint="eastAsia" w:ascii="宋体" w:hAnsi="宋体" w:cs="宋体"/>
          <w:sz w:val="24"/>
          <w:szCs w:val="24"/>
        </w:rPr>
        <w:t>分。</w:t>
      </w:r>
    </w:p>
    <w:p>
      <w:pPr>
        <w:spacing w:line="360" w:lineRule="auto"/>
        <w:ind w:firstLine="480"/>
        <w:rPr>
          <w:rFonts w:ascii="宋体"/>
          <w:sz w:val="24"/>
          <w:szCs w:val="24"/>
        </w:rPr>
      </w:pPr>
      <w:r>
        <w:rPr>
          <w:rFonts w:ascii="宋体" w:hAnsi="宋体" w:cs="宋体"/>
          <w:sz w:val="24"/>
          <w:szCs w:val="24"/>
        </w:rPr>
        <w:t>5.2</w:t>
      </w:r>
      <w:r>
        <w:rPr>
          <w:rFonts w:hint="eastAsia" w:ascii="宋体" w:hAnsi="宋体" w:cs="宋体"/>
          <w:sz w:val="24"/>
          <w:szCs w:val="24"/>
        </w:rPr>
        <w:t>经初步评审合格的响应文件，磋商小组根据竞争性磋商文件确定的评审标准和方法，对其商务技术部分作进一步评审、比较、打分。</w:t>
      </w:r>
    </w:p>
    <w:p>
      <w:pPr>
        <w:pStyle w:val="12"/>
        <w:spacing w:line="360" w:lineRule="auto"/>
        <w:ind w:firstLine="480" w:firstLineChars="200"/>
        <w:rPr>
          <w:rFonts w:hAnsi="宋体" w:cs="Times New Roman"/>
          <w:sz w:val="24"/>
          <w:szCs w:val="24"/>
        </w:rPr>
      </w:pPr>
      <w:r>
        <w:rPr>
          <w:rFonts w:hAnsi="宋体"/>
          <w:sz w:val="24"/>
          <w:szCs w:val="24"/>
        </w:rPr>
        <w:t>5.3</w:t>
      </w:r>
      <w:r>
        <w:rPr>
          <w:rFonts w:hint="eastAsia" w:hAnsi="宋体"/>
          <w:sz w:val="24"/>
          <w:szCs w:val="24"/>
        </w:rPr>
        <w:t>磋商小组成员首先分别对每个供应商商务技术部分进行评审打分，然后计算出算术平均值（保留</w:t>
      </w:r>
      <w:r>
        <w:rPr>
          <w:rFonts w:hAnsi="宋体"/>
          <w:sz w:val="24"/>
          <w:szCs w:val="24"/>
        </w:rPr>
        <w:t>2</w:t>
      </w:r>
      <w:r>
        <w:rPr>
          <w:rFonts w:hint="eastAsia" w:hAnsi="宋体"/>
          <w:sz w:val="24"/>
          <w:szCs w:val="24"/>
        </w:rPr>
        <w:t>位小数），即为供应商的商务技术得分，后计算二次报价，计算公式：投标价格分</w:t>
      </w:r>
      <w:r>
        <w:rPr>
          <w:rFonts w:hAnsi="宋体"/>
          <w:sz w:val="24"/>
          <w:szCs w:val="24"/>
        </w:rPr>
        <w:t>=(</w:t>
      </w:r>
      <w:r>
        <w:rPr>
          <w:rFonts w:hint="eastAsia" w:hAnsi="宋体"/>
          <w:sz w:val="24"/>
          <w:szCs w:val="24"/>
        </w:rPr>
        <w:t>最佳报价</w:t>
      </w:r>
      <w:r>
        <w:rPr>
          <w:rFonts w:hAnsi="宋体"/>
          <w:sz w:val="24"/>
          <w:szCs w:val="24"/>
        </w:rPr>
        <w:t>/</w:t>
      </w:r>
      <w:r>
        <w:rPr>
          <w:rFonts w:hint="eastAsia" w:hAnsi="宋体"/>
          <w:sz w:val="24"/>
          <w:szCs w:val="24"/>
        </w:rPr>
        <w:t>投标报价</w:t>
      </w:r>
      <w:r>
        <w:rPr>
          <w:rFonts w:hAnsi="宋体"/>
          <w:sz w:val="24"/>
          <w:szCs w:val="24"/>
        </w:rPr>
        <w:t>)*</w:t>
      </w:r>
      <w:r>
        <w:rPr>
          <w:rFonts w:hint="eastAsia" w:hAnsi="宋体"/>
          <w:sz w:val="24"/>
          <w:szCs w:val="24"/>
        </w:rPr>
        <w:t>价格权值</w:t>
      </w:r>
      <w:r>
        <w:rPr>
          <w:rFonts w:hAnsi="宋体"/>
          <w:sz w:val="24"/>
          <w:szCs w:val="24"/>
        </w:rPr>
        <w:t>*100</w:t>
      </w:r>
      <w:r>
        <w:rPr>
          <w:rFonts w:hint="eastAsia" w:hAnsi="宋体"/>
          <w:sz w:val="24"/>
          <w:szCs w:val="24"/>
        </w:rPr>
        <w:t>。，综合得分</w:t>
      </w:r>
      <w:r>
        <w:rPr>
          <w:rFonts w:hAnsi="宋体"/>
          <w:sz w:val="24"/>
          <w:szCs w:val="24"/>
        </w:rPr>
        <w:t>=</w:t>
      </w:r>
      <w:r>
        <w:rPr>
          <w:rFonts w:hint="eastAsia" w:hAnsi="宋体"/>
          <w:sz w:val="24"/>
          <w:szCs w:val="24"/>
        </w:rPr>
        <w:t>商务技术分</w:t>
      </w:r>
      <w:r>
        <w:rPr>
          <w:rFonts w:hAnsi="宋体"/>
          <w:sz w:val="24"/>
          <w:szCs w:val="24"/>
        </w:rPr>
        <w:t>+</w:t>
      </w:r>
      <w:r>
        <w:rPr>
          <w:rFonts w:hint="eastAsia" w:hAnsi="宋体"/>
          <w:sz w:val="24"/>
          <w:szCs w:val="24"/>
        </w:rPr>
        <w:t>报价分，以综合得分（保留</w:t>
      </w:r>
      <w:r>
        <w:rPr>
          <w:rFonts w:hAnsi="宋体"/>
          <w:sz w:val="24"/>
          <w:szCs w:val="24"/>
        </w:rPr>
        <w:t>2</w:t>
      </w:r>
      <w:r>
        <w:rPr>
          <w:rFonts w:hint="eastAsia" w:hAnsi="宋体"/>
          <w:sz w:val="24"/>
          <w:szCs w:val="24"/>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2"/>
        <w:spacing w:line="360" w:lineRule="auto"/>
        <w:ind w:left="420" w:leftChars="200"/>
        <w:rPr>
          <w:rFonts w:hAnsi="宋体" w:cs="Times New Roman"/>
          <w:b/>
          <w:bCs/>
          <w:sz w:val="24"/>
          <w:szCs w:val="24"/>
        </w:rPr>
      </w:pPr>
      <w:r>
        <w:rPr>
          <w:rFonts w:hAnsi="宋体"/>
          <w:b/>
          <w:bCs/>
          <w:sz w:val="24"/>
          <w:szCs w:val="24"/>
        </w:rPr>
        <w:t>6</w:t>
      </w:r>
      <w:r>
        <w:rPr>
          <w:rFonts w:hint="eastAsia" w:hAnsi="宋体"/>
          <w:b/>
          <w:bCs/>
          <w:sz w:val="24"/>
          <w:szCs w:val="24"/>
        </w:rPr>
        <w:t>.修正原则</w:t>
      </w:r>
    </w:p>
    <w:p>
      <w:pPr>
        <w:pStyle w:val="53"/>
        <w:spacing w:before="0"/>
        <w:ind w:left="420" w:leftChars="200" w:firstLine="0" w:firstLineChars="0"/>
        <w:rPr>
          <w:rFonts w:ascii="宋体"/>
          <w:lang w:val="zh-CN"/>
        </w:rPr>
      </w:pPr>
      <w:r>
        <w:rPr>
          <w:rFonts w:hint="eastAsia" w:ascii="宋体" w:hAnsi="宋体" w:cs="宋体"/>
        </w:rPr>
        <w:t>响应</w:t>
      </w:r>
      <w:r>
        <w:rPr>
          <w:rFonts w:hint="eastAsia" w:ascii="宋体" w:hAnsi="宋体" w:cs="宋体"/>
          <w:lang w:val="zh-CN"/>
        </w:rPr>
        <w:t>文件报价出现前后不一致的，按照下列规定修正：</w:t>
      </w:r>
    </w:p>
    <w:p>
      <w:pPr>
        <w:pStyle w:val="53"/>
        <w:tabs>
          <w:tab w:val="left" w:pos="0"/>
        </w:tabs>
        <w:spacing w:before="0"/>
        <w:ind w:firstLine="480"/>
        <w:rPr>
          <w:rFonts w:ascii="宋体"/>
          <w:lang w:val="zh-CN"/>
        </w:rPr>
      </w:pPr>
      <w:r>
        <w:rPr>
          <w:rFonts w:ascii="宋体" w:hAnsi="宋体" w:cs="宋体"/>
        </w:rPr>
        <w:t>6.1</w:t>
      </w:r>
      <w:r>
        <w:rPr>
          <w:rFonts w:hint="eastAsia" w:ascii="宋体" w:hAnsi="宋体" w:cs="宋体"/>
        </w:rPr>
        <w:t>响应</w:t>
      </w:r>
      <w:r>
        <w:rPr>
          <w:rFonts w:hint="eastAsia" w:ascii="宋体" w:hAnsi="宋体" w:cs="宋体"/>
          <w:lang w:val="zh-CN"/>
        </w:rPr>
        <w:t>文件中</w:t>
      </w:r>
      <w:r>
        <w:rPr>
          <w:rFonts w:hint="eastAsia" w:ascii="宋体" w:hAnsi="宋体" w:cs="宋体"/>
        </w:rPr>
        <w:t>报价</w:t>
      </w:r>
      <w:r>
        <w:rPr>
          <w:rFonts w:hint="eastAsia" w:ascii="宋体" w:hAnsi="宋体" w:cs="宋体"/>
          <w:lang w:val="zh-CN"/>
        </w:rPr>
        <w:t>一览表内容与</w:t>
      </w:r>
      <w:r>
        <w:rPr>
          <w:rFonts w:hint="eastAsia" w:ascii="宋体" w:hAnsi="宋体" w:cs="宋体"/>
        </w:rPr>
        <w:t>响应</w:t>
      </w:r>
      <w:r>
        <w:rPr>
          <w:rFonts w:hint="eastAsia" w:ascii="宋体" w:hAnsi="宋体" w:cs="宋体"/>
          <w:lang w:val="zh-CN"/>
        </w:rPr>
        <w:t>文件中相应内容不一致的，以</w:t>
      </w:r>
      <w:r>
        <w:rPr>
          <w:rFonts w:hint="eastAsia" w:ascii="宋体" w:hAnsi="宋体" w:cs="宋体"/>
        </w:rPr>
        <w:t>报价</w:t>
      </w:r>
      <w:r>
        <w:rPr>
          <w:rFonts w:hint="eastAsia" w:ascii="宋体" w:hAnsi="宋体" w:cs="宋体"/>
          <w:lang w:val="zh-CN"/>
        </w:rPr>
        <w:t>一览表为准；</w:t>
      </w:r>
    </w:p>
    <w:p>
      <w:pPr>
        <w:pStyle w:val="53"/>
        <w:tabs>
          <w:tab w:val="left" w:pos="0"/>
        </w:tabs>
        <w:spacing w:before="0"/>
        <w:ind w:firstLine="480"/>
        <w:rPr>
          <w:rFonts w:ascii="宋体"/>
          <w:lang w:val="zh-CN"/>
        </w:rPr>
      </w:pPr>
      <w:r>
        <w:rPr>
          <w:rFonts w:ascii="宋体" w:hAnsi="宋体" w:cs="宋体"/>
        </w:rPr>
        <w:t>6.2</w:t>
      </w:r>
      <w:r>
        <w:rPr>
          <w:rFonts w:hint="eastAsia" w:ascii="宋体" w:hAnsi="宋体" w:cs="宋体"/>
          <w:lang w:val="zh-CN"/>
        </w:rPr>
        <w:t>大写金额和小写金额不一致的，以大写金额为准；</w:t>
      </w:r>
    </w:p>
    <w:p>
      <w:pPr>
        <w:pStyle w:val="53"/>
        <w:tabs>
          <w:tab w:val="left" w:pos="0"/>
        </w:tabs>
        <w:spacing w:before="0"/>
        <w:ind w:firstLine="480"/>
        <w:rPr>
          <w:rFonts w:ascii="宋体"/>
          <w:lang w:val="zh-CN"/>
        </w:rPr>
      </w:pPr>
      <w:r>
        <w:rPr>
          <w:rFonts w:ascii="宋体" w:hAnsi="宋体" w:cs="宋体"/>
        </w:rPr>
        <w:t>6.3</w:t>
      </w:r>
      <w:r>
        <w:rPr>
          <w:rFonts w:hint="eastAsia" w:ascii="宋体" w:hAnsi="宋体" w:cs="宋体"/>
          <w:lang w:val="zh-CN"/>
        </w:rPr>
        <w:t>单价金额小数点或者百分比有明显错位的，以</w:t>
      </w:r>
      <w:r>
        <w:rPr>
          <w:rFonts w:hint="eastAsia" w:ascii="宋体" w:hAnsi="宋体" w:cs="宋体"/>
        </w:rPr>
        <w:t>报价</w:t>
      </w:r>
      <w:r>
        <w:rPr>
          <w:rFonts w:hint="eastAsia" w:ascii="宋体" w:hAnsi="宋体" w:cs="宋体"/>
          <w:lang w:val="zh-CN"/>
        </w:rPr>
        <w:t>一览表的总价为准，并修改单价；</w:t>
      </w:r>
    </w:p>
    <w:p>
      <w:pPr>
        <w:pStyle w:val="53"/>
        <w:tabs>
          <w:tab w:val="left" w:pos="0"/>
        </w:tabs>
        <w:spacing w:before="0"/>
        <w:ind w:firstLine="480"/>
        <w:rPr>
          <w:rFonts w:ascii="宋体"/>
          <w:lang w:val="zh-CN"/>
        </w:rPr>
      </w:pPr>
      <w:r>
        <w:rPr>
          <w:rFonts w:ascii="宋体" w:hAnsi="宋体" w:cs="宋体"/>
        </w:rPr>
        <w:t>6.4</w:t>
      </w:r>
      <w:r>
        <w:rPr>
          <w:rFonts w:hint="eastAsia" w:ascii="宋体" w:hAnsi="宋体" w:cs="宋体"/>
          <w:lang w:val="zh-CN"/>
        </w:rPr>
        <w:t>总价金额与按单价汇总金额不一致的，以单价金额计算结果为准。</w:t>
      </w:r>
    </w:p>
    <w:p>
      <w:pPr>
        <w:pStyle w:val="53"/>
        <w:spacing w:before="0"/>
        <w:ind w:firstLine="480"/>
        <w:rPr>
          <w:rFonts w:ascii="宋体"/>
          <w:lang w:val="zh-CN"/>
        </w:rPr>
      </w:pPr>
      <w:r>
        <w:rPr>
          <w:rFonts w:hint="eastAsia" w:ascii="宋体" w:hAnsi="宋体" w:cs="宋体"/>
          <w:lang w:val="zh-CN"/>
        </w:rPr>
        <w:t>同时出现两种以上不一致的，按照前款规定的顺序修正。修正后的报价按照财政部公布第</w:t>
      </w:r>
      <w:r>
        <w:rPr>
          <w:rFonts w:ascii="宋体" w:hAnsi="宋体" w:cs="宋体"/>
          <w:lang w:val="zh-CN"/>
        </w:rPr>
        <w:t>87</w:t>
      </w:r>
      <w:r>
        <w:rPr>
          <w:rFonts w:hint="eastAsia" w:ascii="宋体" w:hAnsi="宋体" w:cs="宋体"/>
          <w:lang w:val="zh-CN"/>
        </w:rPr>
        <w:t>号令</w:t>
      </w:r>
      <w:r>
        <w:rPr>
          <w:rFonts w:ascii="宋体" w:hAnsi="宋体" w:cs="宋体"/>
          <w:lang w:val="zh-CN"/>
        </w:rPr>
        <w:t xml:space="preserve"> </w:t>
      </w:r>
      <w:r>
        <w:rPr>
          <w:rFonts w:hint="eastAsia" w:ascii="宋体" w:hAnsi="宋体" w:cs="宋体"/>
          <w:lang w:val="zh-CN"/>
        </w:rPr>
        <w:t>《政府采购产品和服务招标投标管理办法》第五十一条第二款的规定经</w:t>
      </w:r>
      <w:r>
        <w:rPr>
          <w:rFonts w:hint="eastAsia" w:ascii="宋体" w:hAnsi="宋体" w:cs="宋体"/>
        </w:rPr>
        <w:t>供应商</w:t>
      </w:r>
      <w:r>
        <w:rPr>
          <w:rFonts w:hint="eastAsia" w:ascii="宋体" w:hAnsi="宋体" w:cs="宋体"/>
          <w:lang w:val="zh-CN"/>
        </w:rPr>
        <w:t>确认后产生约束力，</w:t>
      </w:r>
      <w:r>
        <w:rPr>
          <w:rFonts w:hint="eastAsia" w:ascii="宋体" w:hAnsi="宋体" w:cs="宋体"/>
        </w:rPr>
        <w:t>供应商</w:t>
      </w:r>
      <w:r>
        <w:rPr>
          <w:rFonts w:hint="eastAsia" w:ascii="宋体" w:hAnsi="宋体" w:cs="宋体"/>
          <w:lang w:val="zh-CN"/>
        </w:rPr>
        <w:t>不确认的，其</w:t>
      </w:r>
      <w:r>
        <w:rPr>
          <w:rFonts w:hint="eastAsia" w:ascii="宋体" w:hAnsi="宋体" w:cs="宋体"/>
        </w:rPr>
        <w:t>磋商</w:t>
      </w:r>
      <w:r>
        <w:rPr>
          <w:rFonts w:hint="eastAsia" w:ascii="宋体" w:hAnsi="宋体" w:cs="宋体"/>
          <w:lang w:val="zh-CN"/>
        </w:rPr>
        <w:t>无效。</w:t>
      </w:r>
    </w:p>
    <w:p>
      <w:pPr>
        <w:pStyle w:val="12"/>
        <w:spacing w:line="360" w:lineRule="auto"/>
        <w:ind w:left="420" w:leftChars="200"/>
        <w:rPr>
          <w:rFonts w:hAnsi="宋体" w:cs="Times New Roman"/>
          <w:b/>
          <w:bCs/>
          <w:sz w:val="24"/>
          <w:szCs w:val="24"/>
        </w:rPr>
      </w:pPr>
      <w:r>
        <w:rPr>
          <w:rFonts w:hAnsi="宋体"/>
          <w:b/>
          <w:bCs/>
          <w:sz w:val="24"/>
          <w:szCs w:val="24"/>
        </w:rPr>
        <w:t>7</w:t>
      </w:r>
      <w:r>
        <w:rPr>
          <w:rFonts w:hint="eastAsia" w:hAnsi="宋体"/>
          <w:b/>
          <w:bCs/>
          <w:sz w:val="24"/>
          <w:szCs w:val="24"/>
        </w:rPr>
        <w:t>.响应文件的澄清</w:t>
      </w:r>
    </w:p>
    <w:p>
      <w:pPr>
        <w:pStyle w:val="53"/>
        <w:tabs>
          <w:tab w:val="left" w:pos="0"/>
        </w:tabs>
        <w:spacing w:before="0"/>
        <w:ind w:firstLine="480"/>
        <w:rPr>
          <w:rFonts w:ascii="宋体"/>
          <w:lang w:val="zh-CN"/>
        </w:rPr>
      </w:pPr>
      <w:r>
        <w:rPr>
          <w:rFonts w:ascii="宋体" w:hAnsi="宋体" w:cs="宋体"/>
        </w:rPr>
        <w:t>7.1</w:t>
      </w:r>
      <w:r>
        <w:rPr>
          <w:rFonts w:hint="eastAsia" w:ascii="宋体" w:hAnsi="宋体" w:cs="宋体"/>
          <w:lang w:val="zh-CN"/>
        </w:rPr>
        <w:t>评审中因</w:t>
      </w:r>
      <w:r>
        <w:rPr>
          <w:rFonts w:hint="eastAsia" w:ascii="宋体" w:hAnsi="宋体" w:cs="宋体"/>
        </w:rPr>
        <w:t>响应</w:t>
      </w:r>
      <w:r>
        <w:rPr>
          <w:rFonts w:hint="eastAsia" w:ascii="宋体" w:hAnsi="宋体" w:cs="宋体"/>
          <w:lang w:val="zh-CN"/>
        </w:rPr>
        <w:t>文件含义不明、表述不一致或有明显计算错误等内容需要供应商作出澄清、说明或者补正的，</w:t>
      </w:r>
      <w:r>
        <w:rPr>
          <w:rFonts w:hint="eastAsia" w:ascii="宋体" w:hAnsi="宋体" w:cs="宋体"/>
        </w:rPr>
        <w:t>磋商小组</w:t>
      </w:r>
      <w:r>
        <w:rPr>
          <w:rFonts w:hint="eastAsia" w:ascii="宋体" w:hAnsi="宋体" w:cs="宋体"/>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sz w:val="24"/>
          <w:szCs w:val="24"/>
        </w:rPr>
      </w:pPr>
      <w:r>
        <w:rPr>
          <w:rFonts w:hint="eastAsia" w:ascii="宋体" w:hAnsi="宋体" w:cs="宋体"/>
          <w:sz w:val="24"/>
          <w:szCs w:val="24"/>
          <w:lang w:val="zh-CN"/>
        </w:rPr>
        <w:t>供应商通过政采云平台交换的数据电文必须进行电子签章。</w:t>
      </w:r>
    </w:p>
    <w:p>
      <w:pPr>
        <w:pStyle w:val="4"/>
        <w:numPr>
          <w:ilvl w:val="0"/>
          <w:numId w:val="16"/>
        </w:numPr>
        <w:jc w:val="center"/>
        <w:rPr>
          <w:rFonts w:cs="Times New Roman"/>
        </w:rPr>
      </w:pPr>
      <w:r>
        <w:t xml:space="preserve"> </w:t>
      </w:r>
      <w:bookmarkStart w:id="77" w:name="_Toc12816"/>
      <w:bookmarkStart w:id="78" w:name="_Toc23398"/>
      <w:r>
        <w:rPr>
          <w:rFonts w:hint="eastAsia"/>
        </w:rPr>
        <w:t>注意事项</w:t>
      </w:r>
      <w:bookmarkEnd w:id="77"/>
      <w:bookmarkEnd w:id="78"/>
    </w:p>
    <w:p>
      <w:pPr>
        <w:pStyle w:val="5"/>
        <w:spacing w:line="360" w:lineRule="auto"/>
        <w:rPr>
          <w:b/>
          <w:bCs/>
          <w:sz w:val="24"/>
          <w:szCs w:val="24"/>
        </w:rPr>
      </w:pPr>
      <w:r>
        <w:rPr>
          <w:rFonts w:hint="eastAsia" w:cs="宋体"/>
          <w:b/>
          <w:bCs/>
          <w:sz w:val="24"/>
          <w:szCs w:val="24"/>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4"/>
        <w:numPr>
          <w:ilvl w:val="0"/>
          <w:numId w:val="17"/>
        </w:numPr>
        <w:jc w:val="center"/>
        <w:rPr>
          <w:rFonts w:cs="Times New Roman"/>
        </w:rPr>
      </w:pPr>
      <w:r>
        <w:t xml:space="preserve"> </w:t>
      </w:r>
      <w:bookmarkStart w:id="79" w:name="_Toc13782"/>
      <w:bookmarkStart w:id="80" w:name="_Toc13852"/>
      <w:r>
        <w:rPr>
          <w:rFonts w:hint="eastAsia"/>
        </w:rPr>
        <w:t>评分细则</w:t>
      </w:r>
      <w:bookmarkEnd w:id="79"/>
      <w:bookmarkEnd w:id="80"/>
    </w:p>
    <w:p>
      <w:pPr>
        <w:spacing w:line="360" w:lineRule="auto"/>
        <w:ind w:firstLine="482" w:firstLineChars="200"/>
        <w:rPr>
          <w:rFonts w:ascii="宋体"/>
          <w:b/>
          <w:bCs/>
          <w:sz w:val="24"/>
          <w:szCs w:val="24"/>
        </w:rPr>
      </w:pPr>
      <w:r>
        <w:rPr>
          <w:rFonts w:hint="eastAsia" w:ascii="宋体" w:hAnsi="宋体" w:cs="宋体"/>
          <w:b/>
          <w:bCs/>
          <w:sz w:val="24"/>
          <w:szCs w:val="24"/>
        </w:rPr>
        <w:t>一、报价文件评分标准（</w:t>
      </w:r>
      <w:r>
        <w:rPr>
          <w:rFonts w:hint="eastAsia" w:ascii="宋体" w:hAnsi="宋体" w:cs="宋体"/>
          <w:b/>
          <w:bCs/>
          <w:sz w:val="24"/>
          <w:szCs w:val="24"/>
          <w:u w:val="single"/>
        </w:rPr>
        <w:t>20</w:t>
      </w:r>
      <w:r>
        <w:rPr>
          <w:rFonts w:ascii="宋体" w:hAnsi="宋体" w:cs="宋体"/>
          <w:b/>
          <w:bCs/>
          <w:sz w:val="24"/>
          <w:szCs w:val="24"/>
          <w:u w:val="single"/>
        </w:rPr>
        <w:t xml:space="preserve"> </w:t>
      </w:r>
      <w:r>
        <w:rPr>
          <w:rFonts w:hint="eastAsia" w:ascii="宋体" w:hAnsi="宋体" w:cs="宋体"/>
          <w:b/>
          <w:bCs/>
          <w:sz w:val="24"/>
          <w:szCs w:val="24"/>
        </w:rPr>
        <w:t>分）</w:t>
      </w:r>
    </w:p>
    <w:p>
      <w:pPr>
        <w:spacing w:line="360" w:lineRule="auto"/>
        <w:ind w:firstLine="480" w:firstLineChars="200"/>
        <w:rPr>
          <w:rFonts w:ascii="宋体"/>
          <w:sz w:val="24"/>
          <w:szCs w:val="24"/>
        </w:rPr>
      </w:pPr>
      <w:r>
        <w:rPr>
          <w:rFonts w:hint="eastAsia" w:ascii="宋体" w:hAnsi="宋体" w:cs="宋体"/>
          <w:sz w:val="24"/>
          <w:szCs w:val="24"/>
        </w:rPr>
        <w:t>报价文件主要是对供应商的有效报价进行评议，其评分标准及分值设置规则如下：</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.本次采购最高限价规定如下：</w:t>
      </w:r>
    </w:p>
    <w:p>
      <w:pPr>
        <w:spacing w:line="360" w:lineRule="auto"/>
        <w:ind w:firstLine="480" w:firstLineChars="200"/>
        <w:rPr>
          <w:rFonts w:ascii="宋体" w:hAnsi="宋体" w:cs="宋体"/>
          <w:b/>
          <w:bCs/>
          <w:sz w:val="24"/>
          <w:szCs w:val="24"/>
        </w:rPr>
      </w:pPr>
      <w:r>
        <w:rPr>
          <w:rFonts w:hint="eastAsia" w:ascii="宋体" w:hAnsi="宋体" w:cs="宋体"/>
          <w:sz w:val="24"/>
          <w:szCs w:val="24"/>
        </w:rPr>
        <w:t>本项目投标报价的最高限价</w:t>
      </w:r>
      <w:r>
        <w:rPr>
          <w:rFonts w:hint="eastAsia" w:ascii="宋体" w:hAnsi="宋体" w:cs="宋体"/>
          <w:b/>
          <w:bCs/>
          <w:sz w:val="24"/>
          <w:szCs w:val="24"/>
        </w:rPr>
        <w:t>为人民币</w:t>
      </w:r>
      <w:r>
        <w:rPr>
          <w:rFonts w:ascii="宋体" w:hAnsi="宋体" w:cs="宋体"/>
          <w:b/>
          <w:bCs/>
          <w:sz w:val="24"/>
          <w:szCs w:val="24"/>
          <w:u w:val="single"/>
        </w:rPr>
        <w:fldChar w:fldCharType="begin"/>
      </w:r>
      <w:r>
        <w:rPr>
          <w:rFonts w:ascii="宋体" w:hAnsi="宋体" w:cs="宋体"/>
          <w:b/>
          <w:bCs/>
          <w:sz w:val="24"/>
          <w:szCs w:val="24"/>
          <w:u w:val="single"/>
        </w:rPr>
        <w:instrText xml:space="preserve"> </w:instrText>
      </w:r>
      <w:r>
        <w:rPr>
          <w:rFonts w:hint="eastAsia" w:ascii="宋体" w:hAnsi="宋体" w:cs="宋体"/>
          <w:b/>
          <w:bCs/>
          <w:sz w:val="24"/>
          <w:szCs w:val="24"/>
          <w:u w:val="single"/>
        </w:rPr>
        <w:instrText xml:space="preserve">= 1660000 \* CHINESENUM2</w:instrText>
      </w:r>
      <w:r>
        <w:rPr>
          <w:rFonts w:ascii="宋体" w:hAnsi="宋体" w:cs="宋体"/>
          <w:b/>
          <w:bCs/>
          <w:sz w:val="24"/>
          <w:szCs w:val="24"/>
          <w:u w:val="single"/>
        </w:rPr>
        <w:instrText xml:space="preserve"> </w:instrText>
      </w:r>
      <w:r>
        <w:rPr>
          <w:rFonts w:ascii="宋体" w:hAnsi="宋体" w:cs="宋体"/>
          <w:b/>
          <w:bCs/>
          <w:sz w:val="24"/>
          <w:szCs w:val="24"/>
          <w:u w:val="single"/>
        </w:rPr>
        <w:fldChar w:fldCharType="separate"/>
      </w:r>
      <w:r>
        <w:rPr>
          <w:rFonts w:hint="eastAsia" w:ascii="宋体" w:hAnsi="宋体" w:cs="宋体"/>
          <w:b/>
          <w:bCs/>
          <w:sz w:val="24"/>
          <w:szCs w:val="24"/>
          <w:u w:val="single"/>
        </w:rPr>
        <w:t>壹佰陆拾陆万</w:t>
      </w:r>
      <w:r>
        <w:rPr>
          <w:rFonts w:ascii="宋体" w:hAnsi="宋体" w:cs="宋体"/>
          <w:b/>
          <w:bCs/>
          <w:sz w:val="24"/>
          <w:szCs w:val="24"/>
          <w:u w:val="single"/>
        </w:rPr>
        <w:fldChar w:fldCharType="end"/>
      </w:r>
      <w:r>
        <w:rPr>
          <w:rFonts w:hint="eastAsia" w:ascii="宋体" w:hAnsi="宋体" w:cs="宋体"/>
          <w:b/>
          <w:bCs/>
          <w:sz w:val="24"/>
          <w:szCs w:val="24"/>
          <w:u w:val="single"/>
        </w:rPr>
        <w:t>元整</w:t>
      </w:r>
      <w:r>
        <w:rPr>
          <w:rFonts w:hint="eastAsia" w:ascii="宋体" w:hAnsi="宋体" w:cs="宋体"/>
          <w:b/>
          <w:bCs/>
          <w:sz w:val="24"/>
          <w:szCs w:val="24"/>
        </w:rPr>
        <w:t>（小写</w:t>
      </w:r>
      <w:r>
        <w:rPr>
          <w:rFonts w:hint="eastAsia" w:ascii="宋体" w:hAnsi="宋体" w:cs="宋体"/>
          <w:b/>
          <w:bCs/>
          <w:sz w:val="24"/>
          <w:szCs w:val="24"/>
          <w:u w:val="single"/>
        </w:rPr>
        <w:t>1660000</w:t>
      </w:r>
      <w:r>
        <w:rPr>
          <w:rFonts w:ascii="宋体" w:hAnsi="宋体" w:cs="宋体"/>
          <w:b/>
          <w:bCs/>
          <w:sz w:val="24"/>
          <w:szCs w:val="24"/>
          <w:u w:val="single"/>
        </w:rPr>
        <w:t xml:space="preserve">.00 </w:t>
      </w:r>
      <w:r>
        <w:rPr>
          <w:rFonts w:hint="eastAsia" w:ascii="宋体" w:hAnsi="宋体" w:cs="宋体"/>
          <w:b/>
          <w:bCs/>
          <w:sz w:val="24"/>
          <w:szCs w:val="24"/>
        </w:rPr>
        <w:t>元）。</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.供应商的报价在最高限价内的，为有效报价。</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.本次评标设有最佳报价。</w:t>
      </w:r>
      <w:r>
        <w:rPr>
          <w:rFonts w:hint="eastAsia" w:ascii="宋体" w:hAnsi="宋体" w:cs="宋体"/>
        </w:rPr>
        <w:t>最</w:t>
      </w:r>
      <w:r>
        <w:rPr>
          <w:rFonts w:hint="eastAsia" w:ascii="宋体" w:hAnsi="宋体" w:cs="宋体"/>
          <w:sz w:val="24"/>
          <w:szCs w:val="24"/>
        </w:rPr>
        <w:t>佳报价确定方式：根据所有入围供应商有效报价中的最低报价作为最佳报价。</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.最佳报价者的报价分为满分，其他供应商的有效报价与最佳报价相比，按下列方法计算其报价分：</w:t>
      </w:r>
    </w:p>
    <w:p>
      <w:pPr>
        <w:spacing w:line="360" w:lineRule="auto"/>
        <w:ind w:firstLine="480" w:firstLineChars="200"/>
        <w:rPr>
          <w:rFonts w:ascii="宋体"/>
          <w:sz w:val="24"/>
          <w:szCs w:val="24"/>
        </w:rPr>
      </w:pPr>
      <w:r>
        <w:rPr>
          <w:rFonts w:hint="eastAsia" w:ascii="宋体" w:hAnsi="宋体" w:cs="宋体"/>
          <w:sz w:val="24"/>
          <w:szCs w:val="24"/>
        </w:rPr>
        <w:t>投标价格分</w:t>
      </w:r>
      <w:r>
        <w:rPr>
          <w:rFonts w:ascii="宋体" w:hAnsi="宋体" w:cs="宋体"/>
          <w:sz w:val="24"/>
          <w:szCs w:val="24"/>
        </w:rPr>
        <w:t>=(</w:t>
      </w:r>
      <w:r>
        <w:rPr>
          <w:rFonts w:hint="eastAsia" w:ascii="宋体" w:hAnsi="宋体" w:cs="宋体"/>
          <w:sz w:val="24"/>
          <w:szCs w:val="24"/>
        </w:rPr>
        <w:t>最佳报价</w:t>
      </w:r>
      <w:r>
        <w:rPr>
          <w:rFonts w:ascii="宋体" w:hAnsi="宋体" w:cs="宋体"/>
          <w:sz w:val="24"/>
          <w:szCs w:val="24"/>
        </w:rPr>
        <w:t>/</w:t>
      </w:r>
      <w:r>
        <w:rPr>
          <w:rFonts w:hint="eastAsia" w:ascii="宋体" w:hAnsi="宋体" w:cs="宋体"/>
          <w:sz w:val="24"/>
          <w:szCs w:val="24"/>
        </w:rPr>
        <w:t>投标报价</w:t>
      </w:r>
      <w:r>
        <w:rPr>
          <w:rFonts w:ascii="宋体" w:hAnsi="宋体" w:cs="宋体"/>
          <w:sz w:val="24"/>
          <w:szCs w:val="24"/>
        </w:rPr>
        <w:t>)*</w:t>
      </w:r>
      <w:r>
        <w:rPr>
          <w:rFonts w:hint="eastAsia" w:ascii="宋体" w:hAnsi="宋体" w:cs="宋体"/>
          <w:sz w:val="24"/>
          <w:szCs w:val="24"/>
        </w:rPr>
        <w:t>价格权值</w:t>
      </w:r>
      <w:r>
        <w:rPr>
          <w:rFonts w:ascii="宋体" w:hAnsi="宋体" w:cs="宋体"/>
          <w:sz w:val="24"/>
          <w:szCs w:val="24"/>
        </w:rPr>
        <w:t>*100</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.响应文件只允许有一个报价，磋商报价应按磋商文件中相关附表格式填报，该磋商报价应与明细报价汇总相等，且不允许出现报价优惠、赠送等字样（明细出现“</w:t>
      </w:r>
      <w:r>
        <w:rPr>
          <w:rFonts w:ascii="宋体" w:cs="宋体"/>
          <w:sz w:val="24"/>
          <w:szCs w:val="24"/>
        </w:rPr>
        <w:t>0</w:t>
      </w:r>
      <w:r>
        <w:rPr>
          <w:rFonts w:hint="eastAsia" w:ascii="宋体" w:hAnsi="宋体" w:cs="宋体"/>
          <w:sz w:val="24"/>
          <w:szCs w:val="24"/>
        </w:rPr>
        <w:t>”元，视同赠送）</w:t>
      </w:r>
      <w:r>
        <w:rPr>
          <w:rFonts w:ascii="宋体" w:cs="宋体"/>
          <w:sz w:val="24"/>
          <w:szCs w:val="24"/>
        </w:rPr>
        <w:t>,</w:t>
      </w:r>
      <w:r>
        <w:rPr>
          <w:rFonts w:hint="eastAsia" w:ascii="宋体" w:hAnsi="宋体" w:cs="宋体"/>
          <w:sz w:val="24"/>
          <w:szCs w:val="24"/>
        </w:rPr>
        <w:t>如出现则做</w:t>
      </w:r>
      <w:r>
        <w:rPr>
          <w:rFonts w:hint="eastAsia" w:ascii="宋体" w:hAnsi="宋体" w:cs="宋体"/>
          <w:b/>
          <w:bCs/>
          <w:sz w:val="24"/>
          <w:szCs w:val="24"/>
        </w:rPr>
        <w:t>无效响应</w:t>
      </w:r>
      <w:r>
        <w:rPr>
          <w:rFonts w:hint="eastAsia" w:ascii="宋体" w:hAnsi="宋体" w:cs="宋体"/>
          <w:sz w:val="24"/>
          <w:szCs w:val="24"/>
        </w:rPr>
        <w:t>处理。</w:t>
      </w:r>
    </w:p>
    <w:p>
      <w:pPr>
        <w:autoSpaceDE w:val="0"/>
        <w:autoSpaceDN w:val="0"/>
        <w:spacing w:line="360" w:lineRule="auto"/>
        <w:ind w:firstLine="482"/>
        <w:rPr>
          <w:rFonts w:ascii="宋体"/>
          <w:sz w:val="24"/>
          <w:szCs w:val="24"/>
        </w:rPr>
      </w:pPr>
      <w:r>
        <w:rPr>
          <w:rFonts w:ascii="宋体" w:hAnsi="宋体" w:cs="宋体"/>
          <w:sz w:val="24"/>
          <w:szCs w:val="24"/>
        </w:rPr>
        <w:t>7</w:t>
      </w:r>
      <w:r>
        <w:rPr>
          <w:rFonts w:hint="eastAsia" w:ascii="宋体" w:hAnsi="宋体" w:cs="宋体"/>
          <w:sz w:val="24"/>
          <w:szCs w:val="24"/>
        </w:rPr>
        <w:t>.</w:t>
      </w:r>
      <w:r>
        <w:rPr>
          <w:rFonts w:hint="eastAsia" w:ascii="宋体" w:hAnsi="宋体" w:cs="宋体"/>
          <w:b/>
          <w:bCs/>
          <w:sz w:val="24"/>
          <w:szCs w:val="24"/>
        </w:rPr>
        <w:t>投标价格的合理性</w:t>
      </w:r>
      <w:r>
        <w:rPr>
          <w:rFonts w:hint="eastAsia" w:ascii="宋体" w:hAnsi="宋体" w:cs="宋体"/>
          <w:sz w:val="24"/>
          <w:szCs w:val="24"/>
        </w:rPr>
        <w:t>：</w:t>
      </w:r>
      <w:r>
        <w:rPr>
          <w:rFonts w:hint="eastAsia" w:ascii="Arial" w:hAnsi="Arial" w:cs="宋体"/>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hAnsi="宋体" w:cs="宋体"/>
          <w:sz w:val="24"/>
          <w:szCs w:val="24"/>
        </w:rPr>
      </w:pPr>
      <w:r>
        <w:rPr>
          <w:rFonts w:hint="eastAsia" w:ascii="宋体" w:hAnsi="宋体" w:cs="宋体"/>
          <w:sz w:val="24"/>
          <w:szCs w:val="24"/>
        </w:rPr>
        <w:t>8.价格扣除：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80" w:firstLineChars="200"/>
        <w:rPr>
          <w:rFonts w:ascii="宋体" w:hAnsi="宋体"/>
          <w:sz w:val="24"/>
        </w:rPr>
      </w:pPr>
      <w:r>
        <w:rPr>
          <w:rFonts w:hint="eastAsia" w:ascii="宋体" w:hAnsi="宋体"/>
          <w:sz w:val="24"/>
        </w:rPr>
        <w:t>根据财政部的《关于进一步加大政府采购支持中小企业力度的通知》（财库〔2022〕19号）规定，货物和服务项目中未预留份额专门面向中小企业采购的，以及预留份额项目中的非预留部分采购包，采购单位、采购代理机构应结合项目实际，对符合规定的小微企业报价按10%-20%给予扣除，用扣除后的价格参加评审；对于联合协议或者分包意向协议约定小微企业的合同份额占到合同总金额30%以上的，采购单位、采购代理机构应结合项目实际，对联合体或者大中型企业的报价按4%—6%给予扣除，用扣除后的价格参加评审。（中标价及合同价仍以其投标报价为准）</w:t>
      </w:r>
    </w:p>
    <w:p>
      <w:pPr>
        <w:spacing w:line="360" w:lineRule="auto"/>
        <w:ind w:firstLine="480" w:firstLineChars="200"/>
        <w:rPr>
          <w:rFonts w:ascii="宋体" w:hAnsi="宋体" w:cs="宋体"/>
          <w:sz w:val="24"/>
          <w:szCs w:val="24"/>
        </w:rPr>
      </w:pPr>
      <w:r>
        <w:rPr>
          <w:rFonts w:hint="eastAsia" w:ascii="宋体" w:hAnsi="宋体"/>
          <w:sz w:val="24"/>
        </w:rPr>
        <w:t>组成联合体或者接受分包的小微企业与联合体内其他企业、分包企业之间存在直接控股、管理关系的，不享受价格扣除优惠政策。联合体各方均为小型、微型企业的，联合体视同为小型、微型企业</w:t>
      </w:r>
      <w:r>
        <w:rPr>
          <w:rFonts w:hint="eastAsia" w:ascii="宋体" w:hAnsi="宋体" w:cs="宋体"/>
          <w:sz w:val="24"/>
          <w:szCs w:val="24"/>
        </w:rPr>
        <w:t>。</w:t>
      </w:r>
    </w:p>
    <w:p>
      <w:pPr>
        <w:numPr>
          <w:ilvl w:val="0"/>
          <w:numId w:val="18"/>
        </w:numPr>
        <w:ind w:firstLine="482" w:firstLineChars="200"/>
        <w:rPr>
          <w:rFonts w:ascii="宋体" w:hAnsi="宋体" w:cs="宋体"/>
          <w:b/>
          <w:bCs/>
          <w:sz w:val="24"/>
          <w:szCs w:val="24"/>
        </w:rPr>
      </w:pPr>
      <w:r>
        <w:rPr>
          <w:rFonts w:hint="eastAsia" w:ascii="宋体" w:hAnsi="宋体" w:cs="宋体"/>
          <w:b/>
          <w:bCs/>
          <w:sz w:val="24"/>
          <w:szCs w:val="24"/>
        </w:rPr>
        <w:t>商务技术文件评标内容及标准（</w:t>
      </w:r>
      <w:r>
        <w:rPr>
          <w:rFonts w:ascii="宋体" w:hAnsi="宋体" w:cs="宋体"/>
          <w:b/>
          <w:bCs/>
          <w:sz w:val="24"/>
          <w:szCs w:val="24"/>
          <w:u w:val="single"/>
        </w:rPr>
        <w:t xml:space="preserve"> </w:t>
      </w:r>
      <w:r>
        <w:rPr>
          <w:rFonts w:hint="eastAsia" w:ascii="宋体" w:hAnsi="宋体" w:cs="宋体"/>
          <w:b/>
          <w:bCs/>
          <w:sz w:val="24"/>
          <w:szCs w:val="24"/>
          <w:u w:val="single"/>
        </w:rPr>
        <w:t>80</w:t>
      </w:r>
      <w:r>
        <w:rPr>
          <w:rFonts w:ascii="宋体" w:hAnsi="宋体" w:cs="宋体"/>
          <w:b/>
          <w:bCs/>
          <w:sz w:val="24"/>
          <w:szCs w:val="24"/>
          <w:u w:val="single"/>
        </w:rPr>
        <w:t xml:space="preserve"> </w:t>
      </w:r>
      <w:r>
        <w:rPr>
          <w:rFonts w:hint="eastAsia" w:ascii="宋体" w:hAnsi="宋体" w:cs="宋体"/>
          <w:b/>
          <w:bCs/>
          <w:sz w:val="24"/>
          <w:szCs w:val="24"/>
        </w:rPr>
        <w:t>分）</w:t>
      </w:r>
    </w:p>
    <w:p>
      <w:pPr>
        <w:ind w:left="420"/>
        <w:rPr>
          <w:rFonts w:ascii="宋体" w:hAnsi="宋体" w:cs="宋体"/>
          <w:b/>
          <w:bCs/>
          <w:sz w:val="24"/>
          <w:szCs w:val="24"/>
        </w:rPr>
      </w:pPr>
      <w:r>
        <w:rPr>
          <w:rFonts w:hint="eastAsia" w:ascii="宋体" w:hAnsi="宋体" w:cs="宋体"/>
          <w:b/>
          <w:bCs/>
          <w:sz w:val="24"/>
          <w:szCs w:val="24"/>
        </w:rPr>
        <w:t>1.评分细则</w:t>
      </w:r>
    </w:p>
    <w:tbl>
      <w:tblPr>
        <w:tblStyle w:val="26"/>
        <w:tblW w:w="54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531"/>
        <w:gridCol w:w="5684"/>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45" w:type="pct"/>
            <w:vAlign w:val="center"/>
          </w:tcPr>
          <w:p>
            <w:pPr>
              <w:spacing w:line="26"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评分项目</w:t>
            </w:r>
          </w:p>
        </w:tc>
        <w:tc>
          <w:tcPr>
            <w:tcW w:w="3902" w:type="pct"/>
            <w:gridSpan w:val="2"/>
            <w:vAlign w:val="center"/>
          </w:tcPr>
          <w:p>
            <w:pPr>
              <w:spacing w:line="26"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评标要点及说明</w:t>
            </w:r>
          </w:p>
        </w:tc>
        <w:tc>
          <w:tcPr>
            <w:tcW w:w="453" w:type="pct"/>
            <w:vAlign w:val="center"/>
          </w:tcPr>
          <w:p>
            <w:pPr>
              <w:spacing w:line="26"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45" w:type="pct"/>
            <w:vMerge w:val="restart"/>
            <w:vAlign w:val="center"/>
          </w:tcPr>
          <w:p>
            <w:pPr>
              <w:spacing w:line="26"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技术</w:t>
            </w:r>
          </w:p>
          <w:p>
            <w:pPr>
              <w:spacing w:line="26"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（70分）</w:t>
            </w:r>
          </w:p>
        </w:tc>
        <w:tc>
          <w:tcPr>
            <w:tcW w:w="828" w:type="pct"/>
            <w:vMerge w:val="restart"/>
            <w:vAlign w:val="center"/>
          </w:tcPr>
          <w:p>
            <w:pPr>
              <w:spacing w:line="26" w:lineRule="atLeast"/>
              <w:contextualSpacing/>
              <w:jc w:val="center"/>
              <w:rPr>
                <w:rFonts w:asciiTheme="minorEastAsia" w:hAnsiTheme="minorEastAsia" w:eastAsiaTheme="minorEastAsia"/>
              </w:rPr>
            </w:pPr>
            <w:r>
              <w:rPr>
                <w:rFonts w:hint="eastAsia" w:cs="宋体" w:asciiTheme="minorEastAsia" w:hAnsiTheme="minorEastAsia" w:eastAsiaTheme="minorEastAsia"/>
              </w:rPr>
              <w:t>项目实施方案</w:t>
            </w:r>
          </w:p>
        </w:tc>
        <w:tc>
          <w:tcPr>
            <w:tcW w:w="3074" w:type="pct"/>
            <w:vAlign w:val="center"/>
          </w:tcPr>
          <w:p>
            <w:pPr>
              <w:widowControl/>
              <w:jc w:val="left"/>
            </w:pPr>
            <w:r>
              <w:rPr>
                <w:rFonts w:hint="eastAsia"/>
              </w:rPr>
              <w:t>根据投标人实施方案中</w:t>
            </w:r>
            <w:r>
              <w:t>阐述</w:t>
            </w:r>
            <w:r>
              <w:rPr>
                <w:rFonts w:hint="eastAsia"/>
              </w:rPr>
              <w:t>水文预报方案内容的全面性</w:t>
            </w:r>
            <w:r>
              <w:t>、表述准确</w:t>
            </w:r>
            <w:r>
              <w:rPr>
                <w:rFonts w:hint="eastAsia"/>
              </w:rPr>
              <w:t>性</w:t>
            </w:r>
            <w:r>
              <w:t>、结构完整</w:t>
            </w:r>
            <w:r>
              <w:rPr>
                <w:rFonts w:hint="eastAsia"/>
              </w:rPr>
              <w:t>性、</w:t>
            </w:r>
            <w:r>
              <w:t>条理清晰程度</w:t>
            </w:r>
            <w:r>
              <w:rPr>
                <w:rFonts w:hint="eastAsia"/>
              </w:rPr>
              <w:t>进行打分</w:t>
            </w:r>
            <w:r>
              <w:t>。</w:t>
            </w:r>
          </w:p>
        </w:tc>
        <w:tc>
          <w:tcPr>
            <w:tcW w:w="453" w:type="pct"/>
            <w:vAlign w:val="center"/>
          </w:tcPr>
          <w:p>
            <w:pPr>
              <w:widowControl/>
              <w:jc w:val="center"/>
              <w:rPr>
                <w:sz w:val="24"/>
              </w:rP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Merge w:val="continue"/>
            <w:vAlign w:val="center"/>
          </w:tcPr>
          <w:p>
            <w:pPr>
              <w:spacing w:line="26" w:lineRule="atLeast"/>
              <w:contextualSpacing/>
              <w:jc w:val="center"/>
              <w:rPr>
                <w:rFonts w:cs="宋体" w:asciiTheme="minorEastAsia" w:hAnsiTheme="minorEastAsia" w:eastAsiaTheme="minorEastAsia"/>
              </w:rPr>
            </w:pPr>
          </w:p>
        </w:tc>
        <w:tc>
          <w:tcPr>
            <w:tcW w:w="3074" w:type="pct"/>
            <w:vAlign w:val="center"/>
          </w:tcPr>
          <w:p>
            <w:pPr>
              <w:widowControl/>
              <w:jc w:val="left"/>
            </w:pPr>
            <w:r>
              <w:rPr>
                <w:rFonts w:hint="eastAsia"/>
              </w:rPr>
              <w:t>根据投标人实施方案中</w:t>
            </w:r>
            <w:r>
              <w:t>阐述述</w:t>
            </w:r>
            <w:r>
              <w:rPr>
                <w:rFonts w:hint="eastAsia"/>
              </w:rPr>
              <w:t>水文预报方案内容的关键技术</w:t>
            </w:r>
            <w:r>
              <w:t>内容</w:t>
            </w:r>
            <w:r>
              <w:rPr>
                <w:rFonts w:hint="eastAsia"/>
              </w:rPr>
              <w:t>的全面性</w:t>
            </w:r>
            <w:r>
              <w:t>、表述准确</w:t>
            </w:r>
            <w:r>
              <w:rPr>
                <w:rFonts w:hint="eastAsia"/>
              </w:rPr>
              <w:t>性</w:t>
            </w:r>
            <w:r>
              <w:t>、结构完整</w:t>
            </w:r>
            <w:r>
              <w:rPr>
                <w:rFonts w:hint="eastAsia"/>
              </w:rPr>
              <w:t>性、</w:t>
            </w:r>
            <w:r>
              <w:t>条理清晰程度</w:t>
            </w:r>
            <w:r>
              <w:rPr>
                <w:rFonts w:hint="eastAsia"/>
              </w:rPr>
              <w:t>进行打分</w:t>
            </w:r>
            <w:r>
              <w:t>。</w:t>
            </w:r>
          </w:p>
        </w:tc>
        <w:tc>
          <w:tcPr>
            <w:tcW w:w="453" w:type="pct"/>
            <w:vAlign w:val="center"/>
          </w:tcPr>
          <w:p>
            <w:pPr>
              <w:widowControl/>
              <w:jc w:val="center"/>
              <w:rPr>
                <w:sz w:val="24"/>
              </w:rP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Merge w:val="continue"/>
            <w:vAlign w:val="center"/>
          </w:tcPr>
          <w:p>
            <w:pPr>
              <w:spacing w:line="26" w:lineRule="atLeast"/>
              <w:contextualSpacing/>
              <w:jc w:val="center"/>
              <w:rPr>
                <w:rFonts w:cs="宋体" w:asciiTheme="minorEastAsia" w:hAnsiTheme="minorEastAsia" w:eastAsiaTheme="minorEastAsia"/>
              </w:rPr>
            </w:pPr>
          </w:p>
        </w:tc>
        <w:tc>
          <w:tcPr>
            <w:tcW w:w="3074" w:type="pct"/>
            <w:vAlign w:val="center"/>
          </w:tcPr>
          <w:p>
            <w:pPr>
              <w:widowControl/>
              <w:jc w:val="left"/>
            </w:pPr>
            <w:r>
              <w:rPr>
                <w:rFonts w:hint="eastAsia"/>
              </w:rPr>
              <w:t>根据投标人实施方案中阐述水文预报方案的实现思路的全面性、表述准确性、结构完整性、条理清晰程度进行打分。</w:t>
            </w:r>
          </w:p>
        </w:tc>
        <w:tc>
          <w:tcPr>
            <w:tcW w:w="453" w:type="pct"/>
            <w:vAlign w:val="center"/>
          </w:tcPr>
          <w:p>
            <w:pPr>
              <w:widowControl/>
              <w:jc w:val="center"/>
              <w:rPr>
                <w:sz w:val="24"/>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Merge w:val="continue"/>
            <w:vAlign w:val="center"/>
          </w:tcPr>
          <w:p>
            <w:pPr>
              <w:spacing w:line="26" w:lineRule="atLeast"/>
              <w:contextualSpacing/>
              <w:jc w:val="center"/>
              <w:rPr>
                <w:rFonts w:asciiTheme="minorEastAsia" w:hAnsiTheme="minorEastAsia" w:eastAsiaTheme="minorEastAsia"/>
              </w:rPr>
            </w:pPr>
          </w:p>
        </w:tc>
        <w:tc>
          <w:tcPr>
            <w:tcW w:w="3074" w:type="pct"/>
            <w:vAlign w:val="center"/>
          </w:tcPr>
          <w:p>
            <w:pPr>
              <w:widowControl/>
              <w:jc w:val="left"/>
            </w:pPr>
            <w:r>
              <w:rPr>
                <w:rFonts w:hint="eastAsia"/>
              </w:rPr>
              <w:t>根据投标人实施方案中</w:t>
            </w:r>
            <w:r>
              <w:t>系统针</w:t>
            </w:r>
            <w:r>
              <w:rPr>
                <w:rFonts w:hint="eastAsia"/>
              </w:rPr>
              <w:t>对</w:t>
            </w:r>
            <w:r>
              <w:t>曹娥江特殊工况提出</w:t>
            </w:r>
            <w:r>
              <w:rPr>
                <w:rFonts w:hint="eastAsia"/>
              </w:rPr>
              <w:t>的</w:t>
            </w:r>
            <w:r>
              <w:t>解决方案</w:t>
            </w:r>
            <w:r>
              <w:rPr>
                <w:rFonts w:hint="eastAsia"/>
              </w:rPr>
              <w:t>的合理、</w:t>
            </w:r>
            <w:r>
              <w:t>可行</w:t>
            </w:r>
            <w:r>
              <w:rPr>
                <w:rFonts w:hint="eastAsia"/>
              </w:rPr>
              <w:t>性进行打分</w:t>
            </w:r>
            <w:r>
              <w:t>。</w:t>
            </w:r>
          </w:p>
        </w:tc>
        <w:tc>
          <w:tcPr>
            <w:tcW w:w="453" w:type="pct"/>
            <w:vAlign w:val="center"/>
          </w:tcPr>
          <w:p>
            <w:pPr>
              <w:widowControl/>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Merge w:val="continue"/>
            <w:vAlign w:val="center"/>
          </w:tcPr>
          <w:p>
            <w:pPr>
              <w:spacing w:line="26" w:lineRule="atLeast"/>
              <w:contextualSpacing/>
              <w:jc w:val="center"/>
              <w:rPr>
                <w:rFonts w:asciiTheme="minorEastAsia" w:hAnsiTheme="minorEastAsia" w:eastAsiaTheme="minorEastAsia"/>
              </w:rPr>
            </w:pPr>
          </w:p>
        </w:tc>
        <w:tc>
          <w:tcPr>
            <w:tcW w:w="3074" w:type="pct"/>
            <w:vAlign w:val="center"/>
          </w:tcPr>
          <w:p>
            <w:pPr>
              <w:widowControl/>
              <w:jc w:val="left"/>
            </w:pPr>
            <w:r>
              <w:rPr>
                <w:rFonts w:hint="eastAsia"/>
              </w:rPr>
              <w:t>根据投标人实施方案中对预报方案设计的区间划分、参数率定、使用的关键技术的理解进行打分。</w:t>
            </w:r>
          </w:p>
        </w:tc>
        <w:tc>
          <w:tcPr>
            <w:tcW w:w="453" w:type="pct"/>
            <w:vAlign w:val="center"/>
          </w:tcPr>
          <w:p>
            <w:pPr>
              <w:widowControl/>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Merge w:val="continue"/>
            <w:vAlign w:val="center"/>
          </w:tcPr>
          <w:p>
            <w:pPr>
              <w:spacing w:line="26" w:lineRule="atLeast"/>
              <w:contextualSpacing/>
              <w:jc w:val="center"/>
              <w:rPr>
                <w:rFonts w:asciiTheme="minorEastAsia" w:hAnsiTheme="minorEastAsia" w:eastAsiaTheme="minorEastAsia"/>
              </w:rPr>
            </w:pPr>
          </w:p>
        </w:tc>
        <w:tc>
          <w:tcPr>
            <w:tcW w:w="3074" w:type="pct"/>
            <w:vAlign w:val="center"/>
          </w:tcPr>
          <w:p>
            <w:pPr>
              <w:widowControl/>
              <w:jc w:val="left"/>
            </w:pPr>
            <w:r>
              <w:rPr>
                <w:rFonts w:hint="eastAsia"/>
              </w:rPr>
              <w:t>根据投标人实施方案中实时校正方案的方案结构和使用的关键技术进行的有效性、完整性进行打分。</w:t>
            </w:r>
          </w:p>
        </w:tc>
        <w:tc>
          <w:tcPr>
            <w:tcW w:w="453" w:type="pct"/>
            <w:vAlign w:val="center"/>
          </w:tcPr>
          <w:p>
            <w:pPr>
              <w:widowControl/>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Merge w:val="continue"/>
            <w:vAlign w:val="center"/>
          </w:tcPr>
          <w:p>
            <w:pPr>
              <w:spacing w:line="26" w:lineRule="atLeast"/>
              <w:contextualSpacing/>
              <w:jc w:val="center"/>
              <w:rPr>
                <w:rFonts w:asciiTheme="minorEastAsia" w:hAnsiTheme="minorEastAsia" w:eastAsiaTheme="minorEastAsia"/>
              </w:rPr>
            </w:pPr>
          </w:p>
        </w:tc>
        <w:tc>
          <w:tcPr>
            <w:tcW w:w="3074" w:type="pct"/>
            <w:vAlign w:val="center"/>
          </w:tcPr>
          <w:p>
            <w:pPr>
              <w:widowControl/>
              <w:jc w:val="left"/>
            </w:pPr>
            <w:r>
              <w:rPr>
                <w:rFonts w:hint="eastAsia"/>
              </w:rPr>
              <w:t>根据投标人实施方案中自动预报服务的实用性进行打分。</w:t>
            </w:r>
          </w:p>
        </w:tc>
        <w:tc>
          <w:tcPr>
            <w:tcW w:w="453" w:type="pct"/>
            <w:vAlign w:val="center"/>
          </w:tcPr>
          <w:p>
            <w:pPr>
              <w:widowControl/>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Merge w:val="continue"/>
            <w:vAlign w:val="center"/>
          </w:tcPr>
          <w:p>
            <w:pPr>
              <w:spacing w:line="26" w:lineRule="atLeast"/>
              <w:contextualSpacing/>
              <w:jc w:val="center"/>
              <w:rPr>
                <w:rFonts w:asciiTheme="minorEastAsia" w:hAnsiTheme="minorEastAsia" w:eastAsiaTheme="minorEastAsia"/>
              </w:rPr>
            </w:pPr>
          </w:p>
        </w:tc>
        <w:tc>
          <w:tcPr>
            <w:tcW w:w="3074" w:type="pct"/>
            <w:vAlign w:val="center"/>
          </w:tcPr>
          <w:p>
            <w:pPr>
              <w:widowControl/>
              <w:jc w:val="left"/>
            </w:pPr>
            <w:r>
              <w:rPr>
                <w:rFonts w:hint="eastAsia"/>
              </w:rPr>
              <w:t>根据投标人实施方案中</w:t>
            </w:r>
            <w:r>
              <w:t>洪水预报模型</w:t>
            </w:r>
            <w:r>
              <w:rPr>
                <w:rFonts w:hint="eastAsia"/>
              </w:rPr>
              <w:t>的完整性、实用性进行打分</w:t>
            </w:r>
            <w:r>
              <w:t>。</w:t>
            </w:r>
          </w:p>
        </w:tc>
        <w:tc>
          <w:tcPr>
            <w:tcW w:w="453" w:type="pct"/>
            <w:vAlign w:val="center"/>
          </w:tcPr>
          <w:p>
            <w:pPr>
              <w:widowControl/>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Align w:val="center"/>
          </w:tcPr>
          <w:p>
            <w:pPr>
              <w:widowControl/>
              <w:jc w:val="center"/>
            </w:pPr>
            <w:r>
              <w:rPr>
                <w:rFonts w:hint="eastAsia"/>
                <w:bCs/>
              </w:rPr>
              <w:t>项目人员</w:t>
            </w:r>
          </w:p>
        </w:tc>
        <w:tc>
          <w:tcPr>
            <w:tcW w:w="3074" w:type="pct"/>
            <w:vAlign w:val="center"/>
          </w:tcPr>
          <w:p>
            <w:pPr>
              <w:widowControl/>
              <w:jc w:val="left"/>
            </w:pPr>
            <w:r>
              <w:t>根据投标人提供的针对本项目实施的人员</w:t>
            </w:r>
            <w:r>
              <w:rPr>
                <w:rFonts w:hint="eastAsia"/>
              </w:rPr>
              <w:t>数量、</w:t>
            </w:r>
            <w:r>
              <w:t>素质等进行打分。</w:t>
            </w:r>
          </w:p>
        </w:tc>
        <w:tc>
          <w:tcPr>
            <w:tcW w:w="453" w:type="pct"/>
            <w:vAlign w:val="center"/>
          </w:tcPr>
          <w:p>
            <w:pPr>
              <w:widowControl/>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Align w:val="center"/>
          </w:tcPr>
          <w:p>
            <w:pPr>
              <w:widowControl/>
              <w:jc w:val="center"/>
            </w:pPr>
            <w:r>
              <w:rPr>
                <w:rFonts w:hint="eastAsia"/>
              </w:rPr>
              <w:t>数据存储服务</w:t>
            </w:r>
          </w:p>
        </w:tc>
        <w:tc>
          <w:tcPr>
            <w:tcW w:w="3074" w:type="pct"/>
            <w:vAlign w:val="center"/>
          </w:tcPr>
          <w:p>
            <w:pPr>
              <w:widowControl/>
              <w:jc w:val="left"/>
            </w:pPr>
            <w:r>
              <w:rPr>
                <w:rFonts w:hint="eastAsia"/>
              </w:rPr>
              <w:t>根据投标人提供的针对本项目实施的数据存储服务的合理性、规范性、实用性进行打分</w:t>
            </w:r>
            <w:r>
              <w:t>。</w:t>
            </w:r>
          </w:p>
        </w:tc>
        <w:tc>
          <w:tcPr>
            <w:tcW w:w="453" w:type="pct"/>
            <w:vAlign w:val="center"/>
          </w:tcPr>
          <w:p>
            <w:pPr>
              <w:widowControl/>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Align w:val="center"/>
          </w:tcPr>
          <w:p>
            <w:pPr>
              <w:widowControl/>
              <w:jc w:val="center"/>
            </w:pPr>
            <w:r>
              <w:t>服务质量保证和承诺</w:t>
            </w:r>
          </w:p>
        </w:tc>
        <w:tc>
          <w:tcPr>
            <w:tcW w:w="3074" w:type="pct"/>
            <w:vAlign w:val="center"/>
          </w:tcPr>
          <w:p>
            <w:pPr>
              <w:widowControl/>
              <w:jc w:val="left"/>
            </w:pPr>
            <w:r>
              <w:t>根据投标人的服务承诺</w:t>
            </w:r>
            <w:r>
              <w:rPr>
                <w:rFonts w:hint="eastAsia"/>
              </w:rPr>
              <w:t>中</w:t>
            </w:r>
            <w:r>
              <w:t>的人力、物力等资源保证按时按质按量完成本项目要求，提供优质服务，并制订</w:t>
            </w:r>
            <w:r>
              <w:rPr>
                <w:rFonts w:hint="eastAsia"/>
              </w:rPr>
              <w:t>服务</w:t>
            </w:r>
            <w:r>
              <w:t>质量</w:t>
            </w:r>
            <w:r>
              <w:rPr>
                <w:rFonts w:hint="eastAsia"/>
              </w:rPr>
              <w:t>保障</w:t>
            </w:r>
            <w:r>
              <w:t>措施</w:t>
            </w:r>
            <w:r>
              <w:rPr>
                <w:rFonts w:hint="eastAsia"/>
              </w:rPr>
              <w:t>、售后服务方案等，</w:t>
            </w:r>
            <w:r>
              <w:t>进行</w:t>
            </w:r>
            <w:r>
              <w:rPr>
                <w:rFonts w:hint="eastAsia"/>
              </w:rPr>
              <w:t>打分。</w:t>
            </w:r>
          </w:p>
        </w:tc>
        <w:tc>
          <w:tcPr>
            <w:tcW w:w="453" w:type="pct"/>
            <w:vAlign w:val="center"/>
          </w:tcPr>
          <w:p>
            <w:pPr>
              <w:widowControl/>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Align w:val="center"/>
          </w:tcPr>
          <w:p>
            <w:pPr>
              <w:widowControl/>
              <w:jc w:val="center"/>
            </w:pPr>
            <w:r>
              <w:t>工作进度计划及</w:t>
            </w:r>
            <w:r>
              <w:rPr>
                <w:rFonts w:hint="eastAsia"/>
              </w:rPr>
              <w:t>保证措施</w:t>
            </w:r>
          </w:p>
        </w:tc>
        <w:tc>
          <w:tcPr>
            <w:tcW w:w="3074" w:type="pct"/>
            <w:vAlign w:val="center"/>
          </w:tcPr>
          <w:p>
            <w:pPr>
              <w:widowControl/>
              <w:jc w:val="left"/>
            </w:pPr>
            <w:r>
              <w:t>根据投标人</w:t>
            </w:r>
            <w:r>
              <w:rPr>
                <w:rFonts w:hint="eastAsia"/>
              </w:rPr>
              <w:t>的组织方案、工期安排、管理计划、</w:t>
            </w:r>
            <w:r>
              <w:t>进度保证措施</w:t>
            </w:r>
            <w:r>
              <w:rPr>
                <w:rFonts w:hint="eastAsia"/>
              </w:rPr>
              <w:t>的有效性、可行性进行打分。</w:t>
            </w:r>
          </w:p>
        </w:tc>
        <w:tc>
          <w:tcPr>
            <w:tcW w:w="453" w:type="pct"/>
            <w:vAlign w:val="center"/>
          </w:tcPr>
          <w:p>
            <w:pPr>
              <w:widowControl/>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Align w:val="center"/>
          </w:tcPr>
          <w:p>
            <w:pPr>
              <w:widowControl/>
              <w:jc w:val="center"/>
            </w:pPr>
            <w:r>
              <w:t>培训计划</w:t>
            </w:r>
          </w:p>
        </w:tc>
        <w:tc>
          <w:tcPr>
            <w:tcW w:w="3074" w:type="pct"/>
            <w:vAlign w:val="center"/>
          </w:tcPr>
          <w:p>
            <w:pPr>
              <w:widowControl/>
              <w:jc w:val="left"/>
            </w:pPr>
            <w:r>
              <w:t>根据投标人</w:t>
            </w:r>
            <w:r>
              <w:rPr>
                <w:rFonts w:hint="eastAsia"/>
              </w:rPr>
              <w:t>针对本项目的</w:t>
            </w:r>
            <w:r>
              <w:t>培训计划</w:t>
            </w:r>
            <w:r>
              <w:rPr>
                <w:rFonts w:hint="eastAsia"/>
              </w:rPr>
              <w:t>的可行性、合理性进行打分。</w:t>
            </w:r>
          </w:p>
        </w:tc>
        <w:tc>
          <w:tcPr>
            <w:tcW w:w="453" w:type="pct"/>
            <w:vAlign w:val="center"/>
          </w:tcPr>
          <w:p>
            <w:pPr>
              <w:widowControl/>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Align w:val="center"/>
          </w:tcPr>
          <w:p>
            <w:pPr>
              <w:widowControl/>
              <w:jc w:val="center"/>
            </w:pPr>
            <w:r>
              <w:rPr>
                <w:rFonts w:hint="eastAsia"/>
              </w:rPr>
              <w:t>技术支持服务</w:t>
            </w:r>
          </w:p>
        </w:tc>
        <w:tc>
          <w:tcPr>
            <w:tcW w:w="3074" w:type="pct"/>
            <w:vAlign w:val="center"/>
          </w:tcPr>
          <w:p>
            <w:pPr>
              <w:widowControl/>
              <w:jc w:val="left"/>
            </w:pPr>
            <w:r>
              <w:t>根据投标人</w:t>
            </w:r>
            <w:r>
              <w:rPr>
                <w:rFonts w:hint="eastAsia"/>
              </w:rPr>
              <w:t>针对本项目的技术支持服务的可行性、合理性进行打分。</w:t>
            </w:r>
          </w:p>
        </w:tc>
        <w:tc>
          <w:tcPr>
            <w:tcW w:w="453" w:type="pct"/>
            <w:vAlign w:val="center"/>
          </w:tcPr>
          <w:p>
            <w:pPr>
              <w:widowControl/>
              <w:jc w:val="center"/>
              <w:rPr>
                <w:szCs w:val="18"/>
              </w:rPr>
            </w:pPr>
            <w:r>
              <w:rPr>
                <w:rFonts w:hint="eastAsia"/>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45" w:type="pct"/>
            <w:vMerge w:val="restart"/>
            <w:vAlign w:val="center"/>
          </w:tcPr>
          <w:p>
            <w:pPr>
              <w:spacing w:line="26"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商务</w:t>
            </w:r>
          </w:p>
          <w:p>
            <w:pPr>
              <w:spacing w:line="26"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（10分）</w:t>
            </w:r>
          </w:p>
        </w:tc>
        <w:tc>
          <w:tcPr>
            <w:tcW w:w="828" w:type="pct"/>
            <w:vMerge w:val="restart"/>
            <w:vAlign w:val="center"/>
          </w:tcPr>
          <w:p>
            <w:pPr>
              <w:tabs>
                <w:tab w:val="left" w:pos="772"/>
              </w:tabs>
              <w:spacing w:line="26"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资信（10分）</w:t>
            </w:r>
          </w:p>
        </w:tc>
        <w:tc>
          <w:tcPr>
            <w:tcW w:w="3074" w:type="pct"/>
            <w:vAlign w:val="center"/>
          </w:tcPr>
          <w:p>
            <w:pPr>
              <w:spacing w:line="26" w:lineRule="atLeast"/>
              <w:contextualSpacing/>
              <w:jc w:val="left"/>
              <w:rPr>
                <w:rFonts w:cs="宋体" w:asciiTheme="minorEastAsia" w:hAnsiTheme="minorEastAsia" w:eastAsiaTheme="minorEastAsia"/>
                <w:bCs/>
                <w:kern w:val="0"/>
                <w:lang w:val="zh-TW"/>
              </w:rPr>
            </w:pPr>
            <w:r>
              <w:rPr>
                <w:rFonts w:hint="eastAsia"/>
              </w:rPr>
              <w:t>国家发明专利</w:t>
            </w:r>
            <w:r>
              <w:rPr>
                <w:rFonts w:hint="eastAsia" w:cs="宋体" w:asciiTheme="minorEastAsia" w:hAnsiTheme="minorEastAsia" w:eastAsiaTheme="minorEastAsia"/>
                <w:b/>
              </w:rPr>
              <w:t>（具体详见商务要求表）</w:t>
            </w:r>
          </w:p>
        </w:tc>
        <w:tc>
          <w:tcPr>
            <w:tcW w:w="453" w:type="pct"/>
            <w:vAlign w:val="center"/>
          </w:tcPr>
          <w:p>
            <w:pPr>
              <w:spacing w:line="26" w:lineRule="atLeast"/>
              <w:contextualSpacing/>
              <w:jc w:val="center"/>
              <w:rPr>
                <w:rFonts w:asciiTheme="minorEastAsia" w:hAnsiTheme="minorEastAsia" w:eastAsiaTheme="minorEastAsia"/>
                <w:lang w:val="zh-TW"/>
              </w:rPr>
            </w:pPr>
            <w:r>
              <w:rPr>
                <w:rFonts w:hint="eastAsia" w:asciiTheme="minorEastAsia" w:hAnsiTheme="minorEastAsia" w:eastAsiaTheme="minor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Merge w:val="continue"/>
            <w:vAlign w:val="center"/>
          </w:tcPr>
          <w:p>
            <w:pPr>
              <w:tabs>
                <w:tab w:val="left" w:pos="772"/>
              </w:tabs>
              <w:spacing w:line="26" w:lineRule="atLeast"/>
              <w:contextualSpacing/>
              <w:jc w:val="center"/>
              <w:rPr>
                <w:rFonts w:cs="宋体" w:asciiTheme="minorEastAsia" w:hAnsiTheme="minorEastAsia" w:eastAsiaTheme="minorEastAsia"/>
              </w:rPr>
            </w:pPr>
          </w:p>
        </w:tc>
        <w:tc>
          <w:tcPr>
            <w:tcW w:w="3074" w:type="pct"/>
            <w:vAlign w:val="center"/>
          </w:tcPr>
          <w:p>
            <w:pPr>
              <w:spacing w:line="26" w:lineRule="atLeast"/>
              <w:contextualSpacing/>
              <w:jc w:val="left"/>
              <w:rPr>
                <w:rFonts w:asciiTheme="minorEastAsia" w:hAnsiTheme="minorEastAsia" w:eastAsiaTheme="minorEastAsia"/>
              </w:rPr>
            </w:pPr>
            <w:r>
              <w:rPr>
                <w:rFonts w:hint="eastAsia"/>
              </w:rPr>
              <w:t>投标人</w:t>
            </w:r>
            <w:r>
              <w:t>业绩</w:t>
            </w:r>
            <w:r>
              <w:rPr>
                <w:rFonts w:hint="eastAsia" w:cs="宋体" w:asciiTheme="minorEastAsia" w:hAnsiTheme="minorEastAsia" w:eastAsiaTheme="minorEastAsia"/>
                <w:b/>
              </w:rPr>
              <w:t>（具体详见商务要求表）</w:t>
            </w:r>
          </w:p>
        </w:tc>
        <w:tc>
          <w:tcPr>
            <w:tcW w:w="453" w:type="pct"/>
            <w:vAlign w:val="center"/>
          </w:tcPr>
          <w:p>
            <w:pPr>
              <w:spacing w:line="26" w:lineRule="atLeast"/>
              <w:contextualSpacing/>
              <w:jc w:val="center"/>
              <w:rPr>
                <w:rFonts w:asciiTheme="minorEastAsia" w:hAnsiTheme="minorEastAsia" w:eastAsiaTheme="minorEastAsia"/>
              </w:rPr>
            </w:pPr>
            <w:r>
              <w:rPr>
                <w:rFonts w:hint="eastAsia" w:asciiTheme="minorEastAsia" w:hAnsiTheme="minorEastAsia" w:eastAsiaTheme="min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 w:type="pct"/>
            <w:vMerge w:val="continue"/>
            <w:vAlign w:val="center"/>
          </w:tcPr>
          <w:p>
            <w:pPr>
              <w:spacing w:line="26" w:lineRule="atLeast"/>
              <w:contextualSpacing/>
              <w:jc w:val="center"/>
              <w:rPr>
                <w:rFonts w:cs="宋体" w:asciiTheme="minorEastAsia" w:hAnsiTheme="minorEastAsia" w:eastAsiaTheme="minorEastAsia"/>
              </w:rPr>
            </w:pPr>
          </w:p>
        </w:tc>
        <w:tc>
          <w:tcPr>
            <w:tcW w:w="828" w:type="pct"/>
            <w:vMerge w:val="continue"/>
            <w:vAlign w:val="center"/>
          </w:tcPr>
          <w:p>
            <w:pPr>
              <w:tabs>
                <w:tab w:val="left" w:pos="772"/>
              </w:tabs>
              <w:spacing w:line="26" w:lineRule="atLeast"/>
              <w:contextualSpacing/>
              <w:jc w:val="center"/>
              <w:rPr>
                <w:rFonts w:cs="宋体" w:asciiTheme="minorEastAsia" w:hAnsiTheme="minorEastAsia" w:eastAsiaTheme="minorEastAsia"/>
              </w:rPr>
            </w:pPr>
          </w:p>
        </w:tc>
        <w:tc>
          <w:tcPr>
            <w:tcW w:w="3074" w:type="pct"/>
            <w:vAlign w:val="center"/>
          </w:tcPr>
          <w:p>
            <w:pPr>
              <w:spacing w:line="26" w:lineRule="atLeast"/>
              <w:contextualSpacing/>
              <w:jc w:val="left"/>
              <w:rPr>
                <w:rFonts w:cs="宋体" w:asciiTheme="minorEastAsia" w:hAnsiTheme="minorEastAsia" w:eastAsiaTheme="minorEastAsia"/>
                <w:bCs/>
              </w:rPr>
            </w:pPr>
            <w:r>
              <w:rPr>
                <w:rFonts w:hint="eastAsia" w:asciiTheme="minorEastAsia" w:hAnsiTheme="minorEastAsia" w:eastAsiaTheme="minorEastAsia"/>
              </w:rPr>
              <w:t>投标人荣誉</w:t>
            </w:r>
            <w:r>
              <w:rPr>
                <w:rFonts w:hint="eastAsia" w:cs="宋体" w:asciiTheme="minorEastAsia" w:hAnsiTheme="minorEastAsia" w:eastAsiaTheme="minorEastAsia"/>
                <w:b/>
              </w:rPr>
              <w:t>（具体详见商务要求表）</w:t>
            </w:r>
          </w:p>
        </w:tc>
        <w:tc>
          <w:tcPr>
            <w:tcW w:w="453" w:type="pct"/>
            <w:vAlign w:val="center"/>
          </w:tcPr>
          <w:p>
            <w:pPr>
              <w:spacing w:line="26" w:lineRule="atLeast"/>
              <w:contextualSpacing/>
              <w:jc w:val="center"/>
              <w:rPr>
                <w:rFonts w:cs="宋体" w:asciiTheme="minorEastAsia" w:hAnsiTheme="minorEastAsia" w:eastAsiaTheme="minorEastAsia"/>
              </w:rPr>
            </w:pPr>
            <w:r>
              <w:rPr>
                <w:rFonts w:hint="eastAsia" w:asciiTheme="minorEastAsia" w:hAnsiTheme="minorEastAsia" w:eastAsiaTheme="minorEastAsia"/>
              </w:rPr>
              <w:t>4</w:t>
            </w:r>
          </w:p>
        </w:tc>
      </w:tr>
    </w:tbl>
    <w:p>
      <w:pPr>
        <w:spacing w:line="360" w:lineRule="auto"/>
        <w:ind w:firstLine="482" w:firstLineChars="200"/>
      </w:pPr>
      <w:r>
        <w:rPr>
          <w:rFonts w:hint="eastAsia" w:ascii="宋体" w:hAnsi="宋体" w:cs="宋体"/>
          <w:b/>
          <w:bCs/>
          <w:sz w:val="24"/>
          <w:szCs w:val="24"/>
        </w:rPr>
        <w:t>2.商务要求表</w:t>
      </w:r>
      <w:r>
        <w:rPr>
          <w:rFonts w:hint="eastAsia" w:ascii="宋体" w:hAnsi="宋体" w:cs="宋体"/>
          <w:sz w:val="24"/>
          <w:szCs w:val="24"/>
        </w:rPr>
        <w:t>（对应评分标准）</w:t>
      </w:r>
    </w:p>
    <w:tbl>
      <w:tblPr>
        <w:tblStyle w:val="26"/>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418"/>
        <w:gridCol w:w="5811"/>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180" w:type="dxa"/>
            <w:vMerge w:val="restart"/>
            <w:vAlign w:val="center"/>
          </w:tcPr>
          <w:p>
            <w:pPr>
              <w:spacing w:line="312" w:lineRule="auto"/>
              <w:jc w:val="center"/>
              <w:rPr>
                <w:rFonts w:cs="宋体" w:asciiTheme="minorEastAsia" w:hAnsiTheme="minorEastAsia" w:eastAsiaTheme="minorEastAsia"/>
              </w:rPr>
            </w:pPr>
            <w:r>
              <w:rPr>
                <w:rFonts w:hint="eastAsia" w:cs="宋体" w:asciiTheme="minorEastAsia" w:hAnsiTheme="minorEastAsia" w:eastAsiaTheme="minorEastAsia"/>
              </w:rPr>
              <w:t>资信</w:t>
            </w:r>
          </w:p>
          <w:p>
            <w:pPr>
              <w:spacing w:line="312" w:lineRule="auto"/>
              <w:jc w:val="center"/>
              <w:rPr>
                <w:rFonts w:cs="宋体" w:asciiTheme="minorEastAsia" w:hAnsiTheme="minorEastAsia" w:eastAsiaTheme="minorEastAsia"/>
              </w:rPr>
            </w:pPr>
            <w:r>
              <w:rPr>
                <w:rFonts w:hint="eastAsia" w:cs="宋体" w:asciiTheme="minorEastAsia" w:hAnsiTheme="minorEastAsia" w:eastAsiaTheme="minorEastAsia"/>
              </w:rPr>
              <w:t>（10分）</w:t>
            </w:r>
          </w:p>
        </w:tc>
        <w:tc>
          <w:tcPr>
            <w:tcW w:w="1418" w:type="dxa"/>
            <w:vAlign w:val="center"/>
          </w:tcPr>
          <w:p>
            <w:pPr>
              <w:spacing w:line="312" w:lineRule="auto"/>
              <w:ind w:right="26"/>
              <w:jc w:val="center"/>
              <w:rPr>
                <w:rFonts w:cs="宋体" w:asciiTheme="minorEastAsia" w:hAnsiTheme="minorEastAsia" w:eastAsiaTheme="minorEastAsia"/>
                <w:bCs/>
              </w:rPr>
            </w:pPr>
            <w:r>
              <w:rPr>
                <w:rFonts w:hint="eastAsia"/>
              </w:rPr>
              <w:t>国家发明专利</w:t>
            </w:r>
          </w:p>
        </w:tc>
        <w:tc>
          <w:tcPr>
            <w:tcW w:w="5811" w:type="dxa"/>
            <w:vAlign w:val="center"/>
          </w:tcPr>
          <w:p>
            <w:pPr>
              <w:widowControl/>
              <w:autoSpaceDE w:val="0"/>
              <w:autoSpaceDN w:val="0"/>
              <w:spacing w:line="276" w:lineRule="auto"/>
              <w:ind w:right="-34" w:firstLine="420" w:firstLineChars="200"/>
              <w:textAlignment w:val="bottom"/>
              <w:rPr>
                <w:rFonts w:asciiTheme="minorEastAsia" w:hAnsiTheme="minorEastAsia" w:eastAsiaTheme="minorEastAsia"/>
              </w:rPr>
            </w:pPr>
            <w:r>
              <w:rPr>
                <w:rFonts w:hint="eastAsia" w:ascii="宋体" w:hAnsi="宋体" w:cs="宋体"/>
              </w:rPr>
              <w:t>投标人具有有效的水文情报预报业务相关的国家发明专利，每提供1个得1分，最高得4分。</w:t>
            </w:r>
          </w:p>
          <w:p>
            <w:pPr>
              <w:widowControl/>
              <w:autoSpaceDE w:val="0"/>
              <w:autoSpaceDN w:val="0"/>
              <w:spacing w:line="276" w:lineRule="auto"/>
              <w:ind w:right="-34" w:firstLine="422" w:firstLineChars="200"/>
              <w:textAlignment w:val="bottom"/>
              <w:rPr>
                <w:rFonts w:cs="宋体" w:asciiTheme="minorEastAsia" w:hAnsiTheme="minorEastAsia" w:eastAsiaTheme="minorEastAsia"/>
                <w:b/>
              </w:rPr>
            </w:pPr>
            <w:r>
              <w:rPr>
                <w:rFonts w:hint="eastAsia" w:asciiTheme="minorEastAsia" w:hAnsiTheme="minorEastAsia" w:eastAsiaTheme="minorEastAsia"/>
                <w:b/>
              </w:rPr>
              <w:t>（须提供证书原件</w:t>
            </w:r>
            <w:r>
              <w:rPr>
                <w:rFonts w:hint="eastAsia" w:cs="宋体" w:asciiTheme="minorEastAsia" w:hAnsiTheme="minorEastAsia" w:eastAsiaTheme="minorEastAsia"/>
                <w:b/>
              </w:rPr>
              <w:t>扫描件</w:t>
            </w:r>
            <w:r>
              <w:rPr>
                <w:rFonts w:hint="eastAsia" w:asciiTheme="minorEastAsia" w:hAnsiTheme="minorEastAsia" w:eastAsiaTheme="minorEastAsia"/>
                <w:b/>
              </w:rPr>
              <w:t>加盖</w:t>
            </w:r>
            <w:r>
              <w:rPr>
                <w:rFonts w:hint="eastAsia" w:asciiTheme="minorEastAsia" w:hAnsiTheme="minorEastAsia" w:eastAsiaTheme="minorEastAsia"/>
                <w:b/>
                <w:bCs/>
              </w:rPr>
              <w:t>投标人</w:t>
            </w:r>
            <w:r>
              <w:rPr>
                <w:rFonts w:hint="eastAsia" w:asciiTheme="minorEastAsia" w:hAnsiTheme="minorEastAsia" w:eastAsiaTheme="minorEastAsia"/>
                <w:b/>
              </w:rPr>
              <w:t>公章。）</w:t>
            </w:r>
          </w:p>
        </w:tc>
        <w:tc>
          <w:tcPr>
            <w:tcW w:w="839" w:type="dxa"/>
            <w:vAlign w:val="center"/>
          </w:tcPr>
          <w:p>
            <w:pPr>
              <w:spacing w:line="26" w:lineRule="atLeast"/>
              <w:contextualSpacing/>
              <w:jc w:val="center"/>
              <w:rPr>
                <w:rFonts w:asciiTheme="minorEastAsia" w:hAnsiTheme="minorEastAsia" w:eastAsiaTheme="minorEastAsia"/>
                <w:lang w:val="zh-TW"/>
              </w:rPr>
            </w:pPr>
            <w:r>
              <w:rPr>
                <w:rFonts w:hint="eastAsia" w:asciiTheme="minorEastAsia" w:hAnsiTheme="minorEastAsia" w:eastAsiaTheme="minor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180" w:type="dxa"/>
            <w:vMerge w:val="continue"/>
            <w:vAlign w:val="center"/>
          </w:tcPr>
          <w:p>
            <w:pPr>
              <w:spacing w:line="312" w:lineRule="auto"/>
              <w:jc w:val="center"/>
              <w:rPr>
                <w:rFonts w:cs="宋体" w:asciiTheme="minorEastAsia" w:hAnsiTheme="minorEastAsia" w:eastAsiaTheme="minorEastAsia"/>
              </w:rPr>
            </w:pPr>
          </w:p>
        </w:tc>
        <w:tc>
          <w:tcPr>
            <w:tcW w:w="1418" w:type="dxa"/>
            <w:vAlign w:val="center"/>
          </w:tcPr>
          <w:p>
            <w:pPr>
              <w:spacing w:line="312" w:lineRule="auto"/>
              <w:ind w:right="26"/>
              <w:jc w:val="center"/>
              <w:rPr>
                <w:rFonts w:asciiTheme="minorEastAsia" w:hAnsiTheme="minorEastAsia" w:eastAsiaTheme="minorEastAsia"/>
              </w:rPr>
            </w:pPr>
            <w:r>
              <w:rPr>
                <w:rFonts w:hint="eastAsia"/>
              </w:rPr>
              <w:t>投标人</w:t>
            </w:r>
            <w:r>
              <w:t>业绩</w:t>
            </w:r>
          </w:p>
        </w:tc>
        <w:tc>
          <w:tcPr>
            <w:tcW w:w="5811" w:type="dxa"/>
            <w:vAlign w:val="center"/>
          </w:tcPr>
          <w:p>
            <w:pPr>
              <w:spacing w:line="276" w:lineRule="auto"/>
              <w:ind w:firstLine="420" w:firstLineChars="200"/>
              <w:rPr>
                <w:rFonts w:ascii="宋体" w:hAnsi="宋体" w:cs="宋体"/>
              </w:rPr>
            </w:pPr>
            <w:r>
              <w:rPr>
                <w:rFonts w:hint="eastAsia" w:ascii="宋体" w:hAnsi="宋体" w:cs="宋体"/>
              </w:rPr>
              <w:t>投标人自2020年1月1日（以签订合同时间为准）以来具有类似项目业绩的每提供1个得0.5分，最高得2分。</w:t>
            </w:r>
          </w:p>
          <w:p>
            <w:pPr>
              <w:widowControl/>
              <w:autoSpaceDE w:val="0"/>
              <w:autoSpaceDN w:val="0"/>
              <w:spacing w:line="276" w:lineRule="auto"/>
              <w:ind w:right="-34" w:firstLine="422" w:firstLineChars="200"/>
              <w:textAlignment w:val="bottom"/>
              <w:rPr>
                <w:rFonts w:asciiTheme="minorEastAsia" w:hAnsiTheme="minorEastAsia" w:eastAsiaTheme="minorEastAsia"/>
                <w:b/>
              </w:rPr>
            </w:pPr>
            <w:r>
              <w:rPr>
                <w:rFonts w:hint="eastAsia" w:cs="仿宋" w:asciiTheme="minorEastAsia" w:hAnsiTheme="minorEastAsia" w:eastAsiaTheme="minorEastAsia"/>
                <w:b/>
              </w:rPr>
              <w:t>（须</w:t>
            </w:r>
            <w:r>
              <w:rPr>
                <w:rFonts w:hint="eastAsia" w:asciiTheme="minorEastAsia" w:hAnsiTheme="minorEastAsia" w:eastAsiaTheme="minorEastAsia"/>
                <w:b/>
                <w:bCs/>
              </w:rPr>
              <w:t>提供合同原件扫描件加盖投标人公章。）</w:t>
            </w:r>
          </w:p>
        </w:tc>
        <w:tc>
          <w:tcPr>
            <w:tcW w:w="839" w:type="dxa"/>
            <w:vAlign w:val="center"/>
          </w:tcPr>
          <w:p>
            <w:pPr>
              <w:spacing w:line="26" w:lineRule="atLeast"/>
              <w:contextualSpacing/>
              <w:jc w:val="center"/>
              <w:rPr>
                <w:rFonts w:asciiTheme="minorEastAsia" w:hAnsiTheme="minorEastAsia" w:eastAsiaTheme="minorEastAsia"/>
              </w:rPr>
            </w:pPr>
            <w:r>
              <w:rPr>
                <w:rFonts w:hint="eastAsia" w:asciiTheme="minorEastAsia" w:hAnsiTheme="minorEastAsia" w:eastAsiaTheme="min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180" w:type="dxa"/>
            <w:vMerge w:val="continue"/>
            <w:vAlign w:val="center"/>
          </w:tcPr>
          <w:p>
            <w:pPr>
              <w:spacing w:line="312" w:lineRule="auto"/>
              <w:jc w:val="center"/>
              <w:rPr>
                <w:rFonts w:cs="宋体" w:asciiTheme="minorEastAsia" w:hAnsiTheme="minorEastAsia" w:eastAsiaTheme="minorEastAsia"/>
              </w:rPr>
            </w:pPr>
          </w:p>
        </w:tc>
        <w:tc>
          <w:tcPr>
            <w:tcW w:w="1418" w:type="dxa"/>
            <w:vAlign w:val="center"/>
          </w:tcPr>
          <w:p>
            <w:pPr>
              <w:spacing w:line="312" w:lineRule="auto"/>
              <w:ind w:right="26"/>
              <w:jc w:val="center"/>
              <w:rPr>
                <w:rFonts w:cs="仿宋" w:asciiTheme="minorEastAsia" w:hAnsiTheme="minorEastAsia" w:eastAsiaTheme="minorEastAsia"/>
              </w:rPr>
            </w:pPr>
            <w:r>
              <w:rPr>
                <w:rFonts w:hint="eastAsia" w:asciiTheme="minorEastAsia" w:hAnsiTheme="minorEastAsia" w:eastAsiaTheme="minorEastAsia"/>
              </w:rPr>
              <w:t>投标人荣誉</w:t>
            </w:r>
          </w:p>
        </w:tc>
        <w:tc>
          <w:tcPr>
            <w:tcW w:w="5811" w:type="dxa"/>
            <w:vAlign w:val="center"/>
          </w:tcPr>
          <w:p>
            <w:pPr>
              <w:widowControl/>
              <w:autoSpaceDE w:val="0"/>
              <w:autoSpaceDN w:val="0"/>
              <w:spacing w:line="276" w:lineRule="auto"/>
              <w:ind w:right="-34" w:firstLine="420" w:firstLineChars="200"/>
              <w:textAlignment w:val="bottom"/>
              <w:rPr>
                <w:rFonts w:asciiTheme="minorEastAsia" w:hAnsiTheme="minorEastAsia" w:eastAsiaTheme="minorEastAsia"/>
              </w:rPr>
            </w:pPr>
            <w:r>
              <w:rPr>
                <w:rFonts w:hint="eastAsia" w:asciiTheme="minorEastAsia" w:hAnsiTheme="minorEastAsia" w:eastAsiaTheme="minorEastAsia"/>
              </w:rPr>
              <w:t>投标人具有与本项目内容相关的荣誉，省部级及以上荣誉每项得2分，最高得4分；地市级荣誉每项得1分，最高得2分；投标人荣誉总分最高得4分。</w:t>
            </w:r>
          </w:p>
          <w:p>
            <w:pPr>
              <w:widowControl/>
              <w:autoSpaceDE w:val="0"/>
              <w:autoSpaceDN w:val="0"/>
              <w:spacing w:line="276" w:lineRule="auto"/>
              <w:ind w:right="-34" w:firstLine="422" w:firstLineChars="200"/>
              <w:textAlignment w:val="bottom"/>
              <w:rPr>
                <w:rFonts w:cs="宋体" w:asciiTheme="minorEastAsia" w:hAnsiTheme="minorEastAsia" w:eastAsiaTheme="minorEastAsia"/>
                <w:b/>
              </w:rPr>
            </w:pPr>
            <w:r>
              <w:rPr>
                <w:rFonts w:hint="eastAsia" w:asciiTheme="minorEastAsia" w:hAnsiTheme="minorEastAsia" w:eastAsiaTheme="minorEastAsia"/>
                <w:b/>
              </w:rPr>
              <w:t>（须</w:t>
            </w:r>
            <w:r>
              <w:rPr>
                <w:rFonts w:hint="eastAsia" w:asciiTheme="minorEastAsia" w:hAnsiTheme="minorEastAsia" w:eastAsiaTheme="minorEastAsia"/>
                <w:b/>
                <w:bCs/>
              </w:rPr>
              <w:t>提供荣誉证书或相关文件原件扫描件加盖投标人公章</w:t>
            </w:r>
            <w:r>
              <w:rPr>
                <w:rFonts w:hint="eastAsia" w:asciiTheme="minorEastAsia" w:hAnsiTheme="minorEastAsia" w:eastAsiaTheme="minorEastAsia"/>
                <w:b/>
              </w:rPr>
              <w:t>。）</w:t>
            </w:r>
          </w:p>
        </w:tc>
        <w:tc>
          <w:tcPr>
            <w:tcW w:w="839" w:type="dxa"/>
            <w:vAlign w:val="center"/>
          </w:tcPr>
          <w:p>
            <w:pPr>
              <w:spacing w:line="26" w:lineRule="atLeast"/>
              <w:contextualSpacing/>
              <w:jc w:val="center"/>
              <w:rPr>
                <w:rFonts w:cs="宋体" w:asciiTheme="minorEastAsia" w:hAnsiTheme="minorEastAsia" w:eastAsiaTheme="minorEastAsia"/>
              </w:rPr>
            </w:pPr>
            <w:r>
              <w:rPr>
                <w:rFonts w:hint="eastAsia" w:asciiTheme="minorEastAsia" w:hAnsiTheme="minorEastAsia" w:eastAsiaTheme="minorEastAsia"/>
              </w:rPr>
              <w:t>4</w:t>
            </w:r>
          </w:p>
        </w:tc>
      </w:tr>
    </w:tbl>
    <w:p>
      <w:pPr>
        <w:ind w:left="420"/>
        <w:rPr>
          <w:rFonts w:ascii="宋体"/>
          <w:sz w:val="24"/>
          <w:szCs w:val="24"/>
        </w:rPr>
      </w:pPr>
      <w:r>
        <w:rPr>
          <w:rFonts w:hint="eastAsia" w:ascii="宋体" w:hAnsi="宋体" w:cs="宋体"/>
          <w:sz w:val="24"/>
          <w:szCs w:val="24"/>
        </w:rPr>
        <w:t>注：</w:t>
      </w:r>
    </w:p>
    <w:p>
      <w:pPr>
        <w:spacing w:line="276"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.评标委员会各成员应当独立对每个供应商的响应文件进行评价，并汇总每个供应商的得分。资信分为客观分，也需独立进行评价并核对分值，最终分值需一致。</w:t>
      </w:r>
    </w:p>
    <w:p>
      <w:pPr>
        <w:spacing w:line="276" w:lineRule="auto"/>
        <w:ind w:firstLine="480" w:firstLineChars="200"/>
        <w:rPr>
          <w:rFonts w:hAnsi="宋体" w:cs="宋体"/>
          <w:sz w:val="24"/>
          <w:szCs w:val="24"/>
        </w:rPr>
      </w:pPr>
      <w:r>
        <w:rPr>
          <w:rFonts w:ascii="宋体" w:hAnsi="宋体" w:cs="宋体"/>
          <w:sz w:val="24"/>
          <w:szCs w:val="24"/>
        </w:rPr>
        <w:t>2</w:t>
      </w:r>
      <w:r>
        <w:rPr>
          <w:rFonts w:hint="eastAsia" w:ascii="宋体" w:hAnsi="宋体" w:cs="宋体"/>
          <w:sz w:val="24"/>
          <w:szCs w:val="24"/>
        </w:rPr>
        <w:t>.所有文件、合同、证书、资质等需要真实有效。成交供应商在中标后签订合同时需提供以上证明文件原件，若发现资料作假的取消中标资格。</w:t>
      </w:r>
      <w:bookmarkStart w:id="81" w:name="_Toc4517"/>
      <w:bookmarkStart w:id="82" w:name="_Toc8033"/>
      <w:r>
        <w:rPr>
          <w:rFonts w:hint="eastAsia" w:hAnsi="宋体" w:cs="宋体"/>
          <w:sz w:val="24"/>
          <w:szCs w:val="24"/>
        </w:rPr>
        <w:t xml:space="preserve"> </w:t>
      </w:r>
      <w:r>
        <w:rPr>
          <w:rFonts w:hint="eastAsia" w:hAnsi="宋体" w:cs="宋体"/>
          <w:sz w:val="24"/>
          <w:szCs w:val="24"/>
        </w:rPr>
        <w:br w:type="page"/>
      </w:r>
    </w:p>
    <w:p>
      <w:pPr>
        <w:pStyle w:val="3"/>
        <w:jc w:val="center"/>
        <w:rPr>
          <w:rFonts w:ascii="宋体" w:cs="Times New Roman"/>
        </w:rPr>
      </w:pPr>
      <w:bookmarkStart w:id="83" w:name="_Toc32116"/>
      <w:r>
        <w:rPr>
          <w:rFonts w:hint="eastAsia" w:cs="宋体"/>
          <w:sz w:val="36"/>
          <w:szCs w:val="36"/>
        </w:rPr>
        <w:t>第五部分</w:t>
      </w:r>
      <w:r>
        <w:rPr>
          <w:sz w:val="36"/>
          <w:szCs w:val="36"/>
        </w:rPr>
        <w:t xml:space="preserve"> </w:t>
      </w:r>
      <w:r>
        <w:rPr>
          <w:rFonts w:hint="eastAsia" w:cs="宋体"/>
          <w:sz w:val="36"/>
          <w:szCs w:val="36"/>
        </w:rPr>
        <w:t>采购合同</w:t>
      </w:r>
      <w:bookmarkEnd w:id="81"/>
      <w:bookmarkEnd w:id="82"/>
      <w:bookmarkEnd w:id="83"/>
    </w:p>
    <w:p>
      <w:pPr>
        <w:spacing w:line="360" w:lineRule="auto"/>
        <w:ind w:firstLine="480" w:firstLineChars="200"/>
        <w:jc w:val="left"/>
        <w:rPr>
          <w:rFonts w:ascii="宋体" w:hAnsi="宋体" w:cs="宋体"/>
          <w:kern w:val="0"/>
          <w:sz w:val="24"/>
        </w:rPr>
      </w:pPr>
      <w:r>
        <w:rPr>
          <w:rFonts w:hint="eastAsia" w:ascii="宋体" w:hAnsi="宋体" w:cs="宋体"/>
          <w:kern w:val="0"/>
          <w:sz w:val="24"/>
          <w:szCs w:val="24"/>
        </w:rPr>
        <w:t>　</w:t>
      </w:r>
      <w:r>
        <w:rPr>
          <w:rFonts w:hint="eastAsia" w:ascii="宋体" w:hAnsi="宋体" w:cs="宋体"/>
          <w:kern w:val="0"/>
          <w:sz w:val="24"/>
        </w:rPr>
        <w:t>合同编号：（2023）第</w:t>
      </w:r>
      <w:r>
        <w:rPr>
          <w:rFonts w:hint="eastAsia" w:ascii="宋体" w:hAnsi="宋体" w:cs="宋体"/>
          <w:kern w:val="0"/>
          <w:sz w:val="24"/>
          <w:u w:val="single"/>
        </w:rPr>
        <w:t>　　</w:t>
      </w:r>
      <w:r>
        <w:rPr>
          <w:rFonts w:hint="eastAsia" w:ascii="宋体" w:hAnsi="宋体" w:cs="宋体"/>
          <w:kern w:val="0"/>
          <w:sz w:val="24"/>
        </w:rPr>
        <w:t>号</w:t>
      </w:r>
    </w:p>
    <w:p>
      <w:pPr>
        <w:spacing w:line="360" w:lineRule="auto"/>
        <w:ind w:firstLine="480" w:firstLineChars="200"/>
        <w:jc w:val="left"/>
        <w:rPr>
          <w:rFonts w:ascii="宋体" w:hAnsi="宋体" w:cs="宋体"/>
          <w:kern w:val="0"/>
          <w:sz w:val="24"/>
        </w:rPr>
      </w:pPr>
      <w:r>
        <w:rPr>
          <w:rFonts w:hint="eastAsia" w:ascii="宋体" w:hAnsi="宋体" w:cs="宋体"/>
          <w:kern w:val="0"/>
          <w:sz w:val="24"/>
        </w:rPr>
        <w:t>　签订日期：2023年</w:t>
      </w:r>
      <w:r>
        <w:rPr>
          <w:rFonts w:hint="eastAsia" w:ascii="宋体" w:hAnsi="宋体" w:cs="宋体"/>
          <w:kern w:val="0"/>
          <w:sz w:val="24"/>
          <w:u w:val="single"/>
        </w:rPr>
        <w:t>　　</w:t>
      </w:r>
      <w:r>
        <w:rPr>
          <w:rFonts w:hint="eastAsia" w:ascii="宋体" w:hAnsi="宋体" w:cs="宋体"/>
          <w:kern w:val="0"/>
          <w:sz w:val="24"/>
        </w:rPr>
        <w:t>月</w:t>
      </w:r>
      <w:r>
        <w:rPr>
          <w:rFonts w:hint="eastAsia" w:ascii="宋体" w:hAnsi="宋体" w:cs="宋体"/>
          <w:kern w:val="0"/>
          <w:sz w:val="24"/>
          <w:u w:val="single"/>
        </w:rPr>
        <w:t>　　</w:t>
      </w:r>
      <w:r>
        <w:rPr>
          <w:rFonts w:hint="eastAsia" w:ascii="宋体" w:hAnsi="宋体" w:cs="宋体"/>
          <w:kern w:val="0"/>
          <w:sz w:val="24"/>
        </w:rPr>
        <w:t>日</w:t>
      </w:r>
    </w:p>
    <w:p>
      <w:pPr>
        <w:spacing w:line="360" w:lineRule="auto"/>
        <w:ind w:firstLine="480" w:firstLineChars="200"/>
        <w:rPr>
          <w:rFonts w:ascii="宋体" w:hAnsi="宋体" w:cs="宋体"/>
          <w:sz w:val="28"/>
          <w:u w:val="single"/>
        </w:rPr>
      </w:pPr>
      <w:r>
        <w:rPr>
          <w:rFonts w:hint="eastAsia" w:ascii="宋体" w:hAnsi="宋体" w:cs="宋体"/>
          <w:kern w:val="0"/>
          <w:sz w:val="24"/>
        </w:rPr>
        <w:t>　供方</w:t>
      </w:r>
      <w:r>
        <w:rPr>
          <w:rFonts w:hint="eastAsia" w:ascii="宋体" w:hAnsi="宋体" w:cs="宋体"/>
          <w:sz w:val="28"/>
        </w:rPr>
        <w:t>：</w:t>
      </w:r>
      <w:r>
        <w:rPr>
          <w:rFonts w:hint="eastAsia" w:ascii="宋体" w:hAnsi="宋体" w:cs="宋体"/>
          <w:sz w:val="28"/>
          <w:u w:val="single"/>
        </w:rPr>
        <w:t>　　　　　　　　　　　　　　　　　　　　　　　　　</w:t>
      </w:r>
    </w:p>
    <w:p>
      <w:pPr>
        <w:spacing w:line="360" w:lineRule="auto"/>
        <w:ind w:firstLine="720" w:firstLineChars="300"/>
        <w:jc w:val="left"/>
        <w:rPr>
          <w:rFonts w:ascii="宋体" w:hAnsi="宋体" w:cs="宋体"/>
          <w:sz w:val="28"/>
          <w:u w:val="single"/>
        </w:rPr>
      </w:pPr>
      <w:r>
        <w:rPr>
          <w:rFonts w:hint="eastAsia" w:ascii="宋体" w:hAnsi="宋体" w:cs="宋体"/>
          <w:kern w:val="0"/>
          <w:sz w:val="24"/>
        </w:rPr>
        <w:t>需方</w:t>
      </w:r>
      <w:r>
        <w:rPr>
          <w:rFonts w:hint="eastAsia" w:ascii="宋体" w:hAnsi="宋体" w:cs="宋体"/>
          <w:sz w:val="28"/>
        </w:rPr>
        <w:t>：</w:t>
      </w:r>
      <w:r>
        <w:rPr>
          <w:rFonts w:hint="eastAsia" w:ascii="宋体" w:hAnsi="宋体" w:cs="宋体"/>
          <w:sz w:val="28"/>
          <w:u w:val="single"/>
        </w:rPr>
        <w:t>　　　　　　　　　　　　　　　　　　　　　　　　　</w:t>
      </w:r>
    </w:p>
    <w:p>
      <w:pPr>
        <w:spacing w:line="360" w:lineRule="auto"/>
        <w:ind w:firstLine="480" w:firstLineChars="200"/>
        <w:jc w:val="left"/>
        <w:rPr>
          <w:rFonts w:ascii="宋体" w:hAnsi="宋体" w:cs="宋体"/>
          <w:b/>
          <w:bCs/>
          <w:sz w:val="24"/>
          <w:szCs w:val="24"/>
        </w:rPr>
      </w:pPr>
      <w:r>
        <w:rPr>
          <w:rFonts w:hint="eastAsia" w:ascii="宋体" w:hAnsi="宋体" w:cs="宋体"/>
          <w:kern w:val="0"/>
          <w:sz w:val="24"/>
          <w:szCs w:val="24"/>
        </w:rPr>
        <w:t>根据《中华人民共和国民法典》、政府采购编号为FSJZCS2023026竞争性磋商文件、中标人响应文件的规定，经竞争性磋商采购，签订本合同。</w:t>
      </w:r>
      <w:r>
        <w:rPr>
          <w:rFonts w:hint="eastAsia" w:ascii="宋体" w:hAnsi="宋体" w:cs="宋体"/>
          <w:b/>
          <w:bCs/>
          <w:sz w:val="24"/>
          <w:szCs w:val="24"/>
        </w:rPr>
        <w:t xml:space="preserve"> </w:t>
      </w:r>
    </w:p>
    <w:p>
      <w:pPr>
        <w:pStyle w:val="83"/>
        <w:spacing w:line="360" w:lineRule="auto"/>
        <w:ind w:firstLine="482" w:firstLineChars="200"/>
        <w:jc w:val="left"/>
        <w:rPr>
          <w:rFonts w:ascii="宋体" w:eastAsia="宋体" w:cs="宋体"/>
        </w:rPr>
      </w:pPr>
      <w:bookmarkStart w:id="84" w:name="_Toc4669"/>
      <w:bookmarkStart w:id="85" w:name="_Toc7690"/>
      <w:r>
        <w:rPr>
          <w:rFonts w:hint="eastAsia" w:ascii="宋体" w:eastAsia="宋体" w:cs="宋体"/>
        </w:rPr>
        <w:t>一、项目背景</w:t>
      </w:r>
    </w:p>
    <w:p>
      <w:pPr>
        <w:pStyle w:val="83"/>
        <w:spacing w:line="360" w:lineRule="auto"/>
        <w:ind w:firstLine="480" w:firstLineChars="200"/>
        <w:jc w:val="left"/>
        <w:rPr>
          <w:rFonts w:ascii="宋体" w:eastAsia="宋体" w:cs="宋体"/>
          <w:b w:val="0"/>
        </w:rPr>
      </w:pPr>
      <w:r>
        <w:rPr>
          <w:rFonts w:hint="eastAsia" w:ascii="宋体" w:eastAsia="宋体" w:cs="宋体"/>
          <w:b w:val="0"/>
        </w:rPr>
        <w:t>国家“十四五”规划纲要明确提出“构建智慧水利体系，以流域为单元提升水情测报和智能调度能力”。水利部高度重视智慧水利建设，将推进智慧水利建设作为推动新阶段水利高质量发展的最显著标志和六条实施路径之一，提出“要加快构建具有‘四预’（预报、预警、预演、预案）功能的智慧水利体系”。预报、预警作为“四预”关键环节，需要极强的水利专业模型技术攻关，提高精准度，延长预见期，实现对物理流域全要素、全过程的前瞻预演，确保风险提前发现、预警提前发布、方案提前制定、措施提前实施。</w:t>
      </w:r>
    </w:p>
    <w:p>
      <w:pPr>
        <w:pStyle w:val="83"/>
        <w:spacing w:line="360" w:lineRule="auto"/>
        <w:ind w:firstLine="480" w:firstLineChars="200"/>
        <w:jc w:val="left"/>
        <w:rPr>
          <w:rFonts w:ascii="宋体" w:eastAsia="宋体" w:cs="宋体"/>
          <w:b w:val="0"/>
        </w:rPr>
      </w:pPr>
      <w:r>
        <w:rPr>
          <w:rFonts w:hint="eastAsia" w:ascii="宋体" w:eastAsia="宋体" w:cs="宋体"/>
          <w:b w:val="0"/>
        </w:rPr>
        <w:t>根据曹娥江中下游流域防汛抗台、预报调度、监测预警等相关要求，拟开展曹娥江上虞河段精细化水文预报项目建设，完善曹娥江洪水的监测预警体系和群测群防体系，提高曹娥江洪水防御的支撑和保障，充分发挥水文防汛抗台耳目尖兵作用，进一步增强防汛部门的科学决策能力，助力水利业务“四预”功能建设，对减少人员伤亡和保障人民群众生命财产安全具有重要的现实意义。项目列入省水利厅2023年水利改革试点（流域预报调度一体化）项目。</w:t>
      </w:r>
    </w:p>
    <w:p>
      <w:pPr>
        <w:pStyle w:val="83"/>
        <w:spacing w:line="360" w:lineRule="auto"/>
        <w:ind w:firstLine="482" w:firstLineChars="200"/>
        <w:jc w:val="left"/>
        <w:rPr>
          <w:rFonts w:ascii="宋体" w:eastAsia="宋体" w:cs="宋体"/>
        </w:rPr>
      </w:pPr>
      <w:r>
        <w:rPr>
          <w:rFonts w:hint="eastAsia" w:ascii="宋体" w:eastAsia="宋体" w:cs="宋体"/>
        </w:rPr>
        <w:t>二、项目内容及要求</w:t>
      </w:r>
    </w:p>
    <w:p>
      <w:pPr>
        <w:pStyle w:val="83"/>
        <w:spacing w:line="360" w:lineRule="auto"/>
        <w:ind w:firstLine="480" w:firstLineChars="200"/>
        <w:jc w:val="left"/>
        <w:rPr>
          <w:rFonts w:ascii="宋体" w:eastAsia="宋体" w:cs="宋体"/>
          <w:b w:val="0"/>
        </w:rPr>
      </w:pPr>
      <w:r>
        <w:rPr>
          <w:rFonts w:hint="eastAsia" w:ascii="宋体" w:eastAsia="宋体" w:cs="宋体"/>
          <w:b w:val="0"/>
        </w:rPr>
        <w:t xml:space="preserve">项目内容：开展曹娥江上虞河段精细化水文预报项目建设。项目水文预报范围涉及曹娥江干流的嵊州/黄泽至曹娥江大闸区间，需根据曹娥江流域水系、水雨工情建设、水文站网规划、流域产汇流特性等信息基础上，分区间制定洪水演进计算方案，选择分布式预报模型和实时校正方法，合理考虑重要水利工程（南山水库、长诏水库、钦寸水库、汤浦水库、姚江西排枢纽、新三江闸、马山闸、曹娥江大闸等）调度情况，并结合实时水雨情信息和气象数值降雨预报，构建曹娥江上虞河段精细化水文预报方案及服务，供防汛部门科学决策。 </w:t>
      </w:r>
    </w:p>
    <w:p>
      <w:pPr>
        <w:pStyle w:val="83"/>
        <w:spacing w:line="360" w:lineRule="auto"/>
        <w:ind w:firstLine="480" w:firstLineChars="200"/>
        <w:jc w:val="left"/>
        <w:rPr>
          <w:rFonts w:ascii="宋体" w:eastAsia="宋体" w:cs="宋体"/>
          <w:b w:val="0"/>
        </w:rPr>
      </w:pPr>
      <w:r>
        <w:rPr>
          <w:rFonts w:hint="eastAsia" w:ascii="宋体" w:eastAsia="宋体" w:cs="宋体"/>
          <w:b w:val="0"/>
        </w:rPr>
        <w:t>项目要求：综合考虑曹娥江上虞河段水文气象特性、下垫面特性、水利工程等因素影响，分预报区间进行曹娥江上虞河段的预报方案构建、分布式模型搭建、模型参数率定、实时校正方案和自动预报部署，构建曹娥江上虞河段精细化水文预报方案。</w:t>
      </w:r>
    </w:p>
    <w:p>
      <w:pPr>
        <w:pStyle w:val="83"/>
        <w:spacing w:line="360" w:lineRule="auto"/>
        <w:ind w:firstLine="480" w:firstLineChars="200"/>
        <w:jc w:val="left"/>
        <w:rPr>
          <w:rFonts w:ascii="宋体" w:eastAsia="宋体" w:cs="宋体"/>
          <w:b w:val="0"/>
        </w:rPr>
      </w:pPr>
      <w:r>
        <w:rPr>
          <w:rFonts w:hint="eastAsia" w:ascii="宋体" w:eastAsia="宋体" w:cs="宋体"/>
          <w:b w:val="0"/>
        </w:rPr>
        <w:t>方案需要在考虑地面观测降水的基础上接入气象降水，有效延长预见期。同时为提高预报精度和可靠性，要求针对各个预报区间具体情况，结合搭建的分布式预报方案和可用的实时水雨情信息，采用先进有效的误差实时校正方法进行实时校正方案构建，实现对预报结果进行逐预报区间、多层次校正。</w:t>
      </w:r>
    </w:p>
    <w:p>
      <w:pPr>
        <w:pStyle w:val="83"/>
        <w:spacing w:line="360" w:lineRule="auto"/>
        <w:ind w:firstLine="480" w:firstLineChars="200"/>
        <w:jc w:val="left"/>
        <w:rPr>
          <w:rFonts w:ascii="宋体" w:eastAsia="宋体" w:cs="宋体"/>
          <w:b w:val="0"/>
        </w:rPr>
      </w:pPr>
      <w:r>
        <w:rPr>
          <w:rFonts w:hint="eastAsia" w:ascii="宋体" w:eastAsia="宋体" w:cs="宋体"/>
          <w:b w:val="0"/>
        </w:rPr>
        <w:t>方案需对实时校正方法和分布式水文模型进行耦合，在人工作业的基础上构建自动预报服务，实现预报方案及服务的全天候自动化运行，以连续不间断地实时监测大洪水发生的风险并进行预警，并满足日常预报需求。</w:t>
      </w:r>
    </w:p>
    <w:p>
      <w:pPr>
        <w:spacing w:line="360" w:lineRule="auto"/>
        <w:ind w:firstLine="482" w:firstLineChars="200"/>
        <w:rPr>
          <w:rFonts w:ascii="宋体" w:hAnsi="宋体"/>
          <w:b/>
          <w:bCs/>
          <w:sz w:val="24"/>
        </w:rPr>
      </w:pPr>
      <w:r>
        <w:rPr>
          <w:rFonts w:hint="eastAsia" w:ascii="宋体" w:hAnsi="宋体"/>
          <w:b/>
          <w:bCs/>
          <w:sz w:val="24"/>
        </w:rPr>
        <w:t>三、项目服务期限</w:t>
      </w:r>
    </w:p>
    <w:p>
      <w:pPr>
        <w:pStyle w:val="83"/>
        <w:spacing w:line="360" w:lineRule="auto"/>
        <w:ind w:firstLine="480" w:firstLineChars="200"/>
        <w:jc w:val="left"/>
        <w:rPr>
          <w:rFonts w:ascii="宋体" w:eastAsia="宋体" w:cs="宋体"/>
          <w:b w:val="0"/>
        </w:rPr>
      </w:pPr>
      <w:r>
        <w:rPr>
          <w:rFonts w:hint="eastAsia" w:ascii="宋体" w:eastAsia="宋体" w:cs="宋体"/>
          <w:b w:val="0"/>
        </w:rPr>
        <w:t>项目建设期为自合同签署生效之日起210日历天内（具体以合同签订时间为准），同时要求在验收完成后提供2年的后续预报服务支撑。部署相应的技术支撑服务，包括汛前服务维护、洪水期间的驻地服务等，技术支撑人员配置需满足曹娥江上虞河段的防汛需求。</w:t>
      </w:r>
    </w:p>
    <w:p>
      <w:pPr>
        <w:autoSpaceDE w:val="0"/>
        <w:autoSpaceDN w:val="0"/>
        <w:adjustRightInd w:val="0"/>
        <w:spacing w:line="360" w:lineRule="auto"/>
        <w:ind w:firstLine="482" w:firstLineChars="200"/>
        <w:jc w:val="left"/>
        <w:rPr>
          <w:rFonts w:ascii="宋体" w:hAnsi="宋体"/>
          <w:b/>
          <w:bCs/>
          <w:kern w:val="0"/>
          <w:sz w:val="24"/>
        </w:rPr>
      </w:pPr>
      <w:r>
        <w:rPr>
          <w:rFonts w:hint="eastAsia" w:ascii="宋体" w:hAnsi="宋体"/>
          <w:b/>
          <w:bCs/>
          <w:kern w:val="0"/>
          <w:sz w:val="24"/>
        </w:rPr>
        <w:t>四、履约保证金</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乙方在收到中标通知书后，需向甲方提供合同总价1%的履约保证金，即人民币</w:t>
      </w:r>
      <w:r>
        <w:rPr>
          <w:rFonts w:hint="eastAsia" w:ascii="宋体" w:hAnsi="宋体" w:cs="宋体"/>
          <w:sz w:val="24"/>
          <w:szCs w:val="24"/>
          <w:u w:val="single"/>
        </w:rPr>
        <w:t xml:space="preserve">     </w:t>
      </w:r>
      <w:r>
        <w:rPr>
          <w:rFonts w:hint="eastAsia" w:ascii="宋体" w:hAnsi="宋体" w:cs="宋体"/>
          <w:sz w:val="24"/>
          <w:szCs w:val="24"/>
        </w:rPr>
        <w:t>元，在乙方与甲方签订合同前递交。（乙方应当以支票、汇票、本票或者金融机构、保险公司、担保机构出具的保函等非现金形式提交）</w:t>
      </w:r>
    </w:p>
    <w:p>
      <w:pPr>
        <w:spacing w:line="360" w:lineRule="auto"/>
        <w:ind w:firstLine="480" w:firstLineChars="200"/>
        <w:rPr>
          <w:rFonts w:ascii="宋体" w:hAnsi="宋体"/>
          <w:b/>
          <w:bCs/>
          <w:kern w:val="0"/>
          <w:sz w:val="24"/>
          <w:szCs w:val="24"/>
        </w:rPr>
      </w:pPr>
      <w:r>
        <w:rPr>
          <w:rFonts w:hint="eastAsia" w:ascii="宋体" w:hAnsi="宋体" w:cs="宋体"/>
          <w:sz w:val="24"/>
          <w:szCs w:val="24"/>
        </w:rPr>
        <w:t>在项目验收完成并提交所有技术成果后退还（不计息）。</w:t>
      </w:r>
    </w:p>
    <w:p>
      <w:pPr>
        <w:spacing w:line="360" w:lineRule="auto"/>
        <w:ind w:firstLine="482" w:firstLineChars="200"/>
        <w:rPr>
          <w:rFonts w:ascii="宋体" w:hAnsi="宋体"/>
          <w:b/>
          <w:bCs/>
          <w:kern w:val="0"/>
          <w:sz w:val="24"/>
        </w:rPr>
      </w:pPr>
      <w:r>
        <w:rPr>
          <w:rFonts w:hint="eastAsia" w:ascii="宋体" w:hAnsi="宋体"/>
          <w:b/>
          <w:bCs/>
          <w:kern w:val="0"/>
          <w:sz w:val="24"/>
        </w:rPr>
        <w:t>五、服务费及付款方式</w:t>
      </w:r>
    </w:p>
    <w:p>
      <w:pPr>
        <w:pStyle w:val="71"/>
        <w:spacing w:line="360" w:lineRule="auto"/>
        <w:ind w:firstLine="420" w:firstLineChars="175"/>
        <w:rPr>
          <w:rFonts w:cs="宋体"/>
          <w:szCs w:val="24"/>
        </w:rPr>
      </w:pPr>
      <w:r>
        <w:rPr>
          <w:rFonts w:hint="eastAsia" w:cs="宋体"/>
          <w:szCs w:val="24"/>
        </w:rPr>
        <w:t>1.服务费：</w:t>
      </w:r>
    </w:p>
    <w:p>
      <w:pPr>
        <w:pStyle w:val="71"/>
        <w:spacing w:line="360" w:lineRule="auto"/>
        <w:ind w:firstLine="420" w:firstLineChars="175"/>
        <w:rPr>
          <w:rFonts w:cs="宋体"/>
          <w:szCs w:val="24"/>
        </w:rPr>
      </w:pPr>
      <w:r>
        <w:rPr>
          <w:rFonts w:hint="eastAsia" w:cs="宋体"/>
          <w:szCs w:val="24"/>
        </w:rPr>
        <w:t>本合同金额为人民币（大写）：________元（￥_______元）。成交价包括但不限于服务费、人工费、材料费、设备费、交通费、管理费、税费和采购代理费等一切费用。</w:t>
      </w:r>
    </w:p>
    <w:p>
      <w:pPr>
        <w:pStyle w:val="71"/>
        <w:spacing w:line="360" w:lineRule="auto"/>
        <w:ind w:firstLine="420" w:firstLineChars="175"/>
        <w:rPr>
          <w:rFonts w:cs="宋体"/>
          <w:szCs w:val="24"/>
        </w:rPr>
      </w:pPr>
      <w:r>
        <w:rPr>
          <w:rFonts w:hint="eastAsia" w:cs="宋体"/>
          <w:szCs w:val="24"/>
        </w:rPr>
        <w:t>2.本项目付款方式：</w:t>
      </w:r>
    </w:p>
    <w:p>
      <w:pPr>
        <w:pStyle w:val="5"/>
        <w:spacing w:line="360" w:lineRule="auto"/>
        <w:jc w:val="left"/>
        <w:rPr>
          <w:rFonts w:cs="宋体"/>
          <w:sz w:val="24"/>
          <w:szCs w:val="24"/>
        </w:rPr>
      </w:pPr>
      <w:r>
        <w:rPr>
          <w:rFonts w:hint="eastAsia"/>
          <w:sz w:val="24"/>
          <w:szCs w:val="24"/>
        </w:rPr>
        <w:t>合同生效以及具备实施条件后7个工作日内支</w:t>
      </w:r>
      <w:r>
        <w:rPr>
          <w:rFonts w:hint="eastAsia" w:ascii="宋体" w:hAnsi="宋体"/>
          <w:sz w:val="24"/>
          <w:szCs w:val="24"/>
        </w:rPr>
        <w:t>付合同价的30%，</w:t>
      </w:r>
      <w:r>
        <w:rPr>
          <w:rFonts w:hint="eastAsia" w:ascii="宋体" w:hAnsi="宋体" w:cs="仿宋_GB2312"/>
          <w:sz w:val="24"/>
          <w:szCs w:val="24"/>
        </w:rPr>
        <w:t>余款70%在项目验收完成并提交所有技术成果后一次性付清</w:t>
      </w:r>
      <w:r>
        <w:rPr>
          <w:rFonts w:hint="eastAsia" w:ascii="宋体" w:hAnsi="宋体" w:cs="宋体"/>
          <w:bCs/>
          <w:sz w:val="24"/>
          <w:szCs w:val="24"/>
        </w:rPr>
        <w:t>。</w:t>
      </w:r>
    </w:p>
    <w:p>
      <w:pPr>
        <w:spacing w:line="360" w:lineRule="auto"/>
        <w:ind w:left="480"/>
        <w:rPr>
          <w:rFonts w:ascii="宋体" w:hAnsi="宋体" w:cs="宋体"/>
          <w:b/>
          <w:bCs/>
          <w:sz w:val="24"/>
        </w:rPr>
      </w:pPr>
      <w:r>
        <w:rPr>
          <w:rFonts w:hint="eastAsia" w:ascii="宋体" w:hAnsi="宋体" w:cs="宋体"/>
          <w:b/>
          <w:bCs/>
          <w:sz w:val="24"/>
          <w:szCs w:val="24"/>
        </w:rPr>
        <w:t>六、</w:t>
      </w:r>
      <w:r>
        <w:rPr>
          <w:rFonts w:hint="eastAsia" w:ascii="宋体" w:hAnsi="宋体" w:cs="宋体"/>
          <w:b/>
          <w:bCs/>
          <w:sz w:val="24"/>
        </w:rPr>
        <w:t>甲方权利与义务</w:t>
      </w:r>
    </w:p>
    <w:p>
      <w:pPr>
        <w:spacing w:line="360" w:lineRule="auto"/>
        <w:ind w:firstLine="480" w:firstLineChars="200"/>
        <w:rPr>
          <w:rFonts w:ascii="宋体" w:hAnsi="宋体" w:cs="宋体"/>
          <w:bCs/>
          <w:sz w:val="24"/>
        </w:rPr>
      </w:pPr>
      <w:r>
        <w:rPr>
          <w:rFonts w:hint="eastAsia" w:ascii="宋体" w:hAnsi="宋体" w:cs="宋体"/>
          <w:bCs/>
          <w:sz w:val="24"/>
        </w:rPr>
        <w:t>1.甲方有权对乙方的合同履约和实施情况、质量、效果进行全面的技术指导、检查、管理和监督，对发现的问题及时向乙方提出书面或口头改进意见，并限期予以整改。</w:t>
      </w:r>
    </w:p>
    <w:p>
      <w:pPr>
        <w:spacing w:line="360" w:lineRule="auto"/>
        <w:ind w:firstLine="480" w:firstLineChars="200"/>
        <w:rPr>
          <w:rFonts w:ascii="宋体" w:hAnsi="宋体" w:cs="宋体"/>
          <w:bCs/>
          <w:sz w:val="24"/>
        </w:rPr>
      </w:pPr>
      <w:r>
        <w:rPr>
          <w:rFonts w:hint="eastAsia" w:ascii="宋体" w:hAnsi="宋体" w:cs="宋体"/>
          <w:bCs/>
          <w:sz w:val="24"/>
        </w:rPr>
        <w:t>2.甲方有权对乙方不履行合同义务及其磋商承诺的行为进行合同款项扣罚及经济处罚，情节严重或严重影响活动筹备进程的，乙方应赔偿甲方相应的损失。</w:t>
      </w:r>
    </w:p>
    <w:p>
      <w:pPr>
        <w:spacing w:line="360" w:lineRule="auto"/>
        <w:ind w:firstLine="480" w:firstLineChars="200"/>
        <w:rPr>
          <w:rFonts w:ascii="宋体" w:hAnsi="宋体" w:cs="宋体"/>
          <w:bCs/>
          <w:sz w:val="24"/>
        </w:rPr>
      </w:pPr>
      <w:r>
        <w:rPr>
          <w:rFonts w:hint="eastAsia" w:ascii="宋体" w:hAnsi="宋体" w:cs="宋体"/>
          <w:bCs/>
          <w:sz w:val="24"/>
        </w:rPr>
        <w:t>3.甲方应按时向乙方支付合同款项，如出现有合同款项扣罚或经济处罚的情况，将在扣罚相关金额后进行余额的支付。</w:t>
      </w:r>
    </w:p>
    <w:p>
      <w:pPr>
        <w:spacing w:line="360" w:lineRule="auto"/>
        <w:ind w:firstLine="480" w:firstLineChars="200"/>
        <w:rPr>
          <w:rFonts w:ascii="宋体" w:hAnsi="宋体" w:cs="宋体"/>
          <w:bCs/>
          <w:sz w:val="24"/>
        </w:rPr>
      </w:pPr>
      <w:r>
        <w:rPr>
          <w:rFonts w:hint="eastAsia" w:ascii="宋体" w:hAnsi="宋体" w:cs="宋体"/>
          <w:bCs/>
          <w:sz w:val="24"/>
        </w:rPr>
        <w:t>4.甲方需积极协助配合乙方开展相关工作，协助乙方解决问题、使之顺利开展工作。</w:t>
      </w:r>
    </w:p>
    <w:p>
      <w:pPr>
        <w:spacing w:line="360" w:lineRule="auto"/>
        <w:ind w:firstLine="480" w:firstLineChars="200"/>
        <w:rPr>
          <w:rFonts w:ascii="宋体" w:hAnsi="宋体" w:cs="宋体"/>
          <w:bCs/>
          <w:sz w:val="24"/>
        </w:rPr>
      </w:pPr>
      <w:r>
        <w:rPr>
          <w:rFonts w:hint="eastAsia" w:ascii="宋体" w:hAnsi="宋体" w:cs="宋体"/>
          <w:bCs/>
          <w:sz w:val="24"/>
        </w:rPr>
        <w:t>5.甲方可要求乙方调整不合格项目组成员及员工，并在要求的时间内及时调整到位。</w:t>
      </w:r>
    </w:p>
    <w:p>
      <w:pPr>
        <w:spacing w:line="360" w:lineRule="auto"/>
        <w:ind w:left="480"/>
        <w:rPr>
          <w:rFonts w:ascii="宋体" w:hAnsi="宋体" w:cs="宋体"/>
          <w:b/>
          <w:bCs/>
          <w:sz w:val="24"/>
        </w:rPr>
      </w:pPr>
      <w:r>
        <w:rPr>
          <w:rFonts w:hint="eastAsia" w:ascii="宋体" w:hAnsi="宋体" w:cs="宋体"/>
          <w:b/>
          <w:bCs/>
          <w:sz w:val="24"/>
        </w:rPr>
        <w:t>七、乙方权利与义务</w:t>
      </w:r>
    </w:p>
    <w:p>
      <w:pPr>
        <w:spacing w:line="360" w:lineRule="auto"/>
        <w:ind w:firstLine="480" w:firstLineChars="200"/>
        <w:rPr>
          <w:rFonts w:ascii="宋体" w:hAnsi="宋体" w:cs="宋体"/>
          <w:bCs/>
          <w:sz w:val="24"/>
        </w:rPr>
      </w:pPr>
      <w:r>
        <w:rPr>
          <w:rFonts w:hint="eastAsia" w:ascii="宋体" w:hAnsi="宋体" w:cs="宋体"/>
          <w:bCs/>
          <w:sz w:val="24"/>
        </w:rPr>
        <w:t>1.乙方应全面、高效、优质的履行合同约定的各项要求（包括磋商文件的要求及履约过程中甲方交待的事项）以及己方承诺的义务（包括磋商响应文件的承诺）。</w:t>
      </w:r>
    </w:p>
    <w:p>
      <w:pPr>
        <w:spacing w:line="360" w:lineRule="auto"/>
        <w:ind w:firstLine="480" w:firstLineChars="200"/>
        <w:rPr>
          <w:rFonts w:ascii="宋体" w:hAnsi="宋体" w:cs="宋体"/>
          <w:bCs/>
          <w:sz w:val="24"/>
        </w:rPr>
      </w:pPr>
      <w:r>
        <w:rPr>
          <w:rFonts w:hint="eastAsia" w:ascii="宋体" w:hAnsi="宋体" w:cs="宋体"/>
          <w:bCs/>
          <w:sz w:val="24"/>
        </w:rPr>
        <w:t>2.乙方应按甲方的要求开展工作，如在合同履约过程中出现计划或方案变更情况时，应及时向甲方提出，并在征得甲方的同意后方可实施。</w:t>
      </w:r>
    </w:p>
    <w:p>
      <w:pPr>
        <w:spacing w:line="360" w:lineRule="auto"/>
        <w:ind w:firstLine="480" w:firstLineChars="200"/>
        <w:rPr>
          <w:rFonts w:ascii="宋体" w:hAnsi="宋体" w:cs="宋体"/>
          <w:bCs/>
          <w:sz w:val="24"/>
        </w:rPr>
      </w:pPr>
      <w:r>
        <w:rPr>
          <w:rFonts w:hint="eastAsia" w:ascii="宋体" w:hAnsi="宋体" w:cs="宋体"/>
          <w:bCs/>
          <w:sz w:val="24"/>
        </w:rPr>
        <w:t>3.乙方应接受甲方的管理、监督、检查及指导，在项目实施过程中出现问题应及时的纠正并向甲方进行通报。</w:t>
      </w:r>
    </w:p>
    <w:p>
      <w:pPr>
        <w:spacing w:line="360" w:lineRule="auto"/>
        <w:ind w:firstLine="480" w:firstLineChars="200"/>
        <w:rPr>
          <w:rFonts w:ascii="宋体" w:hAnsi="宋体" w:cs="宋体"/>
          <w:bCs/>
          <w:sz w:val="24"/>
        </w:rPr>
      </w:pPr>
      <w:r>
        <w:rPr>
          <w:rFonts w:hint="eastAsia" w:ascii="宋体" w:hAnsi="宋体" w:cs="宋体"/>
          <w:bCs/>
          <w:sz w:val="24"/>
        </w:rPr>
        <w:t>4.乙方应维护甲方的声誉和利益，服从甲方的统一安排。</w:t>
      </w:r>
    </w:p>
    <w:p>
      <w:pPr>
        <w:spacing w:line="360" w:lineRule="auto"/>
        <w:ind w:firstLine="480" w:firstLineChars="200"/>
        <w:rPr>
          <w:rFonts w:ascii="宋体" w:hAnsi="宋体" w:cs="宋体"/>
          <w:bCs/>
          <w:sz w:val="24"/>
        </w:rPr>
      </w:pPr>
      <w:r>
        <w:rPr>
          <w:rFonts w:hint="eastAsia" w:ascii="宋体" w:hAnsi="宋体" w:cs="宋体"/>
          <w:bCs/>
          <w:sz w:val="24"/>
        </w:rPr>
        <w:t>5.甲方不承担乙方在合同履行过程中因其责任引起的一切事故、法律纠纷和经济责任，乙方须自行负责并处理合同履行过程中与第三方发生的所有事故、法律纠纷及一切费用。</w:t>
      </w:r>
    </w:p>
    <w:p>
      <w:pPr>
        <w:spacing w:line="360" w:lineRule="auto"/>
        <w:ind w:firstLine="480" w:firstLineChars="200"/>
        <w:rPr>
          <w:rFonts w:ascii="宋体" w:hAnsi="宋体" w:cs="宋体"/>
          <w:bCs/>
          <w:sz w:val="24"/>
        </w:rPr>
      </w:pPr>
      <w:r>
        <w:rPr>
          <w:rFonts w:hint="eastAsia" w:ascii="宋体" w:hAnsi="宋体" w:cs="宋体"/>
          <w:bCs/>
          <w:sz w:val="24"/>
        </w:rPr>
        <w:t>6.乙方应严格遵守国家有关法律、法规，若有违反，由此造成的一切后果由乙方承担。乙方如因上述原因使合同性质发生改变，甲方不负赔偿责任。</w:t>
      </w:r>
    </w:p>
    <w:p>
      <w:pPr>
        <w:spacing w:line="360" w:lineRule="auto"/>
        <w:ind w:firstLine="480" w:firstLineChars="200"/>
        <w:rPr>
          <w:rFonts w:ascii="宋体" w:cs="宋体"/>
          <w:sz w:val="24"/>
          <w:szCs w:val="22"/>
        </w:rPr>
      </w:pPr>
      <w:r>
        <w:rPr>
          <w:rFonts w:hint="eastAsia" w:ascii="宋体" w:hAnsi="宋体" w:cs="宋体"/>
          <w:bCs/>
          <w:sz w:val="24"/>
        </w:rPr>
        <w:t>7.乙方应做好本项目的各类资料的收集整理工作。</w:t>
      </w:r>
    </w:p>
    <w:p>
      <w:pPr>
        <w:spacing w:line="360" w:lineRule="auto"/>
        <w:ind w:left="480"/>
        <w:rPr>
          <w:rFonts w:ascii="宋体" w:hAnsi="宋体" w:cs="宋体"/>
          <w:b/>
          <w:bCs/>
          <w:sz w:val="24"/>
        </w:rPr>
      </w:pPr>
      <w:r>
        <w:rPr>
          <w:rFonts w:hint="eastAsia" w:ascii="宋体" w:hAnsi="宋体" w:cs="宋体"/>
          <w:b/>
          <w:bCs/>
          <w:sz w:val="24"/>
        </w:rPr>
        <w:t>八、违约责任</w:t>
      </w:r>
    </w:p>
    <w:p>
      <w:pPr>
        <w:spacing w:line="360" w:lineRule="auto"/>
        <w:ind w:firstLine="480" w:firstLineChars="200"/>
        <w:rPr>
          <w:rFonts w:ascii="宋体" w:hAnsi="宋体" w:cs="宋体"/>
          <w:bCs/>
          <w:sz w:val="24"/>
        </w:rPr>
      </w:pPr>
      <w:r>
        <w:rPr>
          <w:rFonts w:ascii="宋体" w:hAnsi="宋体" w:cs="宋体"/>
          <w:bCs/>
          <w:sz w:val="24"/>
        </w:rPr>
        <w:t>1</w:t>
      </w:r>
      <w:r>
        <w:rPr>
          <w:rFonts w:hint="eastAsia" w:ascii="宋体" w:hAnsi="宋体" w:cs="宋体"/>
          <w:bCs/>
          <w:sz w:val="24"/>
        </w:rPr>
        <w:t>.在项目实施过程中，因乙方原因导致活动过程出现问题，严重影响活动效果的，乙方应赔偿甲方相应的损失；</w:t>
      </w:r>
    </w:p>
    <w:p>
      <w:pPr>
        <w:spacing w:line="360" w:lineRule="auto"/>
        <w:ind w:firstLine="480" w:firstLineChars="200"/>
        <w:rPr>
          <w:rFonts w:ascii="宋体" w:hAnsi="宋体" w:cs="宋体"/>
          <w:bCs/>
          <w:sz w:val="24"/>
        </w:rPr>
      </w:pPr>
      <w:r>
        <w:rPr>
          <w:rFonts w:ascii="宋体" w:hAnsi="宋体" w:cs="宋体"/>
          <w:bCs/>
          <w:sz w:val="24"/>
        </w:rPr>
        <w:t>2</w:t>
      </w:r>
      <w:r>
        <w:rPr>
          <w:rFonts w:hint="eastAsia" w:ascii="宋体" w:hAnsi="宋体" w:cs="宋体"/>
          <w:bCs/>
          <w:sz w:val="24"/>
        </w:rPr>
        <w:t>.乙方需按投标时承诺的活动项目，如因客观原因必须更换，更换前应向甲方递请更换申请，经甲方同意后方可更换；</w:t>
      </w:r>
    </w:p>
    <w:p>
      <w:pPr>
        <w:spacing w:line="360" w:lineRule="auto"/>
        <w:ind w:firstLine="480" w:firstLineChars="200"/>
        <w:rPr>
          <w:rFonts w:ascii="宋体" w:hAnsi="宋体" w:cs="宋体"/>
          <w:bCs/>
          <w:sz w:val="24"/>
        </w:rPr>
      </w:pPr>
      <w:r>
        <w:rPr>
          <w:rFonts w:hint="eastAsia" w:ascii="宋体" w:hAnsi="宋体" w:cs="宋体"/>
          <w:bCs/>
          <w:sz w:val="24"/>
        </w:rPr>
        <w:t>3.乙方未能履行本合同约定，造成甲方直接经济损失的，经相关部门认定后，乙方须承担赔偿责任；</w:t>
      </w:r>
    </w:p>
    <w:p>
      <w:pPr>
        <w:spacing w:line="360" w:lineRule="auto"/>
        <w:ind w:firstLine="481"/>
        <w:rPr>
          <w:rFonts w:ascii="宋体" w:cs="宋体"/>
          <w:sz w:val="24"/>
        </w:rPr>
      </w:pPr>
      <w:r>
        <w:rPr>
          <w:rFonts w:hint="eastAsia" w:ascii="宋体" w:hAnsi="宋体" w:cs="宋体"/>
          <w:bCs/>
          <w:sz w:val="24"/>
        </w:rPr>
        <w:t>4.若给甲方工作造成严重影响的，甲方有权提前终止合同，由此给甲方带来经济损失的，乙方须承担相应的经济赔偿责任</w:t>
      </w:r>
      <w:r>
        <w:rPr>
          <w:rFonts w:hint="eastAsia" w:ascii="宋体" w:hAnsi="宋体" w:cs="宋体"/>
          <w:sz w:val="24"/>
        </w:rPr>
        <w:t>。</w:t>
      </w:r>
    </w:p>
    <w:p>
      <w:pPr>
        <w:spacing w:line="360" w:lineRule="auto"/>
        <w:ind w:firstLine="482" w:firstLineChars="200"/>
        <w:rPr>
          <w:rFonts w:ascii="宋体" w:cs="宋体"/>
          <w:b/>
          <w:bCs/>
          <w:sz w:val="24"/>
        </w:rPr>
      </w:pPr>
      <w:r>
        <w:rPr>
          <w:rFonts w:hint="eastAsia" w:ascii="宋体" w:hAnsi="宋体" w:cs="宋体"/>
          <w:b/>
          <w:bCs/>
          <w:sz w:val="24"/>
        </w:rPr>
        <w:t>九、其他条款</w:t>
      </w:r>
      <w:r>
        <w:rPr>
          <w:rFonts w:ascii="宋体" w:hAnsi="宋体" w:cs="宋体"/>
          <w:b/>
          <w:bCs/>
          <w:sz w:val="24"/>
        </w:rPr>
        <w:t xml:space="preserve"> </w:t>
      </w:r>
    </w:p>
    <w:p>
      <w:pPr>
        <w:spacing w:line="360" w:lineRule="auto"/>
        <w:ind w:firstLine="481"/>
        <w:rPr>
          <w:rFonts w:ascii="宋体" w:cs="宋体"/>
          <w:sz w:val="24"/>
        </w:rPr>
      </w:pPr>
      <w:r>
        <w:rPr>
          <w:rFonts w:ascii="宋体" w:hAnsi="宋体" w:cs="宋体"/>
          <w:sz w:val="24"/>
        </w:rPr>
        <w:t>1</w:t>
      </w:r>
      <w:r>
        <w:rPr>
          <w:rFonts w:hint="eastAsia" w:ascii="宋体" w:hAnsi="宋体" w:cs="宋体"/>
          <w:sz w:val="24"/>
        </w:rPr>
        <w:t>.由于不可抗力，致使合同无法履行时，双方应按有关法律规定及时协商处理。</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因合同执行过程中双方发生纠纷，可由双方协商解决或由双方主管部门调解，若达不成协议，双方同意就本合同产生的纠纷向仲裁委员会申请仲裁。当事人双方不在合同中约定仲裁机构的，事后又没有达成书面仲裁协议的，可向有管辖权的人民法院起诉。</w:t>
      </w:r>
    </w:p>
    <w:p>
      <w:pPr>
        <w:spacing w:line="360" w:lineRule="auto"/>
        <w:ind w:firstLine="480" w:firstLineChars="200"/>
        <w:rPr>
          <w:rFonts w:ascii="宋体" w:hAnsi="宋体" w:cs="宋体"/>
          <w:sz w:val="24"/>
        </w:rPr>
      </w:pPr>
      <w:r>
        <w:rPr>
          <w:rFonts w:hint="eastAsia" w:ascii="宋体" w:hAnsi="宋体" w:cs="宋体"/>
          <w:sz w:val="24"/>
        </w:rPr>
        <w:t>3.本项目实施如涉及柴油动力移动源，柴油动力移动源应当符合低排放要求。</w:t>
      </w:r>
    </w:p>
    <w:p>
      <w:pPr>
        <w:spacing w:line="360" w:lineRule="auto"/>
        <w:ind w:left="480"/>
        <w:rPr>
          <w:rFonts w:ascii="宋体" w:hAnsi="宋体" w:cs="宋体"/>
          <w:b/>
          <w:bCs/>
          <w:sz w:val="24"/>
        </w:rPr>
      </w:pPr>
      <w:r>
        <w:rPr>
          <w:rFonts w:hint="eastAsia" w:ascii="宋体" w:hAnsi="宋体" w:cs="宋体"/>
          <w:b/>
          <w:bCs/>
          <w:sz w:val="24"/>
        </w:rPr>
        <w:t>十、附则</w:t>
      </w:r>
    </w:p>
    <w:p>
      <w:pPr>
        <w:snapToGrid w:val="0"/>
        <w:spacing w:line="360" w:lineRule="auto"/>
        <w:ind w:firstLine="480" w:firstLineChars="200"/>
        <w:jc w:val="left"/>
        <w:rPr>
          <w:rFonts w:ascii="宋体" w:hAnsi="宋体"/>
          <w:sz w:val="24"/>
          <w:szCs w:val="24"/>
        </w:rPr>
      </w:pPr>
      <w:r>
        <w:rPr>
          <w:rFonts w:hint="eastAsia" w:ascii="宋体" w:hAnsi="宋体" w:cs="宋体"/>
          <w:sz w:val="24"/>
        </w:rPr>
        <w:t>本合同由双方代表签字，加盖双方公章或合同专用章即生效。全部成果交接完毕和服务费结算完成后，本合同终止</w:t>
      </w:r>
      <w:r>
        <w:rPr>
          <w:rFonts w:hint="eastAsia" w:ascii="宋体" w:hAnsi="宋体"/>
          <w:sz w:val="24"/>
          <w:szCs w:val="24"/>
        </w:rPr>
        <w:t>。</w:t>
      </w:r>
    </w:p>
    <w:p>
      <w:pPr>
        <w:snapToGrid w:val="0"/>
        <w:spacing w:line="360" w:lineRule="auto"/>
        <w:ind w:firstLine="482" w:firstLineChars="200"/>
        <w:jc w:val="left"/>
        <w:rPr>
          <w:rFonts w:ascii="宋体" w:hAnsi="宋体"/>
          <w:sz w:val="24"/>
          <w:szCs w:val="24"/>
        </w:rPr>
      </w:pPr>
      <w:r>
        <w:rPr>
          <w:rFonts w:hint="eastAsia" w:ascii="宋体" w:hAnsi="宋体" w:cs="宋体"/>
          <w:b/>
          <w:kern w:val="0"/>
          <w:sz w:val="24"/>
        </w:rPr>
        <w:t>本合同一式</w:t>
      </w:r>
      <w:r>
        <w:rPr>
          <w:rFonts w:hint="eastAsia" w:ascii="宋体" w:hAnsi="宋体" w:cs="宋体"/>
          <w:b/>
          <w:kern w:val="0"/>
          <w:sz w:val="24"/>
          <w:u w:val="single"/>
        </w:rPr>
        <w:t xml:space="preserve">　　　 </w:t>
      </w:r>
      <w:r>
        <w:rPr>
          <w:rFonts w:hint="eastAsia" w:ascii="宋体" w:hAnsi="宋体" w:cs="宋体"/>
          <w:b/>
          <w:kern w:val="0"/>
          <w:sz w:val="24"/>
        </w:rPr>
        <w:t>份，其中正本两份，采购人和中标人各执一份，并由采购人在30日内做好政采云平台网上合同创建及备案</w:t>
      </w:r>
      <w:r>
        <w:rPr>
          <w:rFonts w:hint="eastAsia" w:ascii="宋体" w:hAnsi="宋体"/>
          <w:sz w:val="24"/>
          <w:szCs w:val="24"/>
        </w:rPr>
        <w:t>。</w:t>
      </w:r>
    </w:p>
    <w:tbl>
      <w:tblPr>
        <w:tblStyle w:val="2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2351"/>
        <w:gridCol w:w="1628"/>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4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甲方单位</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（盖章）</w:t>
            </w:r>
          </w:p>
        </w:tc>
        <w:tc>
          <w:tcPr>
            <w:tcW w:w="1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乙方单位</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4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代表签名</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代表签名</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4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地址</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地址</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4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电话</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电话</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4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开户银行</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开户银行</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4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账号</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账号</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p>
        </w:tc>
      </w:tr>
    </w:tbl>
    <w:p>
      <w:pPr>
        <w:rPr>
          <w:rFonts w:cs="宋体"/>
          <w:sz w:val="36"/>
          <w:szCs w:val="36"/>
        </w:rPr>
      </w:pPr>
      <w:r>
        <w:rPr>
          <w:rFonts w:hint="eastAsia" w:cs="宋体"/>
          <w:sz w:val="36"/>
          <w:szCs w:val="36"/>
        </w:rPr>
        <w:br w:type="page"/>
      </w:r>
    </w:p>
    <w:p>
      <w:pPr>
        <w:pStyle w:val="3"/>
        <w:jc w:val="center"/>
        <w:rPr>
          <w:rFonts w:cs="Times New Roman"/>
          <w:sz w:val="36"/>
          <w:szCs w:val="36"/>
        </w:rPr>
      </w:pPr>
      <w:bookmarkStart w:id="86" w:name="_Toc25710"/>
      <w:r>
        <w:rPr>
          <w:rFonts w:hint="eastAsia" w:cs="宋体"/>
          <w:sz w:val="36"/>
          <w:szCs w:val="36"/>
        </w:rPr>
        <w:t>第六部分</w:t>
      </w:r>
      <w:r>
        <w:rPr>
          <w:sz w:val="36"/>
          <w:szCs w:val="36"/>
        </w:rPr>
        <w:t xml:space="preserve"> </w:t>
      </w:r>
      <w:r>
        <w:rPr>
          <w:rFonts w:hint="eastAsia" w:cs="宋体"/>
          <w:sz w:val="36"/>
          <w:szCs w:val="36"/>
        </w:rPr>
        <w:t>应提交的有关格式范例</w:t>
      </w:r>
      <w:bookmarkEnd w:id="84"/>
      <w:bookmarkEnd w:id="85"/>
      <w:bookmarkEnd w:id="86"/>
    </w:p>
    <w:p/>
    <w:p>
      <w:pPr>
        <w:spacing w:line="360" w:lineRule="auto"/>
        <w:ind w:firstLine="480" w:firstLineChars="200"/>
        <w:rPr>
          <w:rFonts w:ascii="宋体"/>
          <w:sz w:val="24"/>
          <w:szCs w:val="24"/>
        </w:rPr>
      </w:pPr>
      <w:r>
        <w:rPr>
          <w:rFonts w:hint="eastAsia" w:ascii="宋体" w:hAnsi="宋体" w:cs="宋体"/>
          <w:sz w:val="24"/>
          <w:szCs w:val="24"/>
        </w:rPr>
        <w:t>供应商按照以下格式编制响应文件，</w:t>
      </w:r>
      <w:r>
        <w:rPr>
          <w:rFonts w:hint="eastAsia" w:ascii="宋体" w:hAnsi="宋体" w:cs="宋体"/>
          <w:b/>
          <w:bCs/>
          <w:sz w:val="24"/>
          <w:szCs w:val="24"/>
        </w:rPr>
        <w:t>“资格文件”、“商务技术文件”、“报价文件”须分</w:t>
      </w:r>
      <w:r>
        <w:rPr>
          <w:rFonts w:ascii="宋体" w:hAnsi="宋体" w:cs="宋体"/>
          <w:b/>
          <w:bCs/>
          <w:sz w:val="24"/>
          <w:szCs w:val="24"/>
        </w:rPr>
        <w:t>3</w:t>
      </w:r>
      <w:r>
        <w:rPr>
          <w:rFonts w:hint="eastAsia" w:ascii="宋体" w:hAnsi="宋体" w:cs="宋体"/>
          <w:b/>
          <w:bCs/>
          <w:sz w:val="24"/>
          <w:szCs w:val="24"/>
        </w:rPr>
        <w:t>个</w:t>
      </w:r>
      <w:r>
        <w:rPr>
          <w:rFonts w:ascii="宋体" w:hAnsi="宋体" w:cs="宋体"/>
          <w:b/>
          <w:bCs/>
          <w:sz w:val="24"/>
          <w:szCs w:val="24"/>
        </w:rPr>
        <w:t>PDF</w:t>
      </w:r>
      <w:r>
        <w:rPr>
          <w:rFonts w:hint="eastAsia" w:ascii="宋体" w:hAnsi="宋体" w:cs="宋体"/>
          <w:b/>
          <w:bCs/>
          <w:sz w:val="24"/>
          <w:szCs w:val="24"/>
        </w:rPr>
        <w:t>格式分别导入。</w:t>
      </w:r>
    </w:p>
    <w:p>
      <w:pPr>
        <w:spacing w:line="360" w:lineRule="auto"/>
        <w:ind w:firstLine="482" w:firstLineChars="200"/>
        <w:rPr>
          <w:rFonts w:ascii="宋体"/>
          <w:b/>
          <w:bCs/>
          <w:sz w:val="24"/>
          <w:szCs w:val="24"/>
        </w:rPr>
      </w:pPr>
      <w:r>
        <w:rPr>
          <w:rFonts w:hint="eastAsia" w:ascii="宋体" w:hAnsi="宋体" w:cs="宋体"/>
          <w:b/>
          <w:bCs/>
          <w:sz w:val="24"/>
          <w:szCs w:val="24"/>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b/>
          <w:bCs/>
          <w:kern w:val="0"/>
          <w:sz w:val="36"/>
          <w:szCs w:val="36"/>
        </w:rPr>
      </w:pPr>
      <w:r>
        <w:rPr>
          <w:rFonts w:ascii="宋体"/>
          <w:b/>
          <w:bCs/>
          <w:sz w:val="24"/>
          <w:szCs w:val="24"/>
        </w:rPr>
        <w:br w:type="page"/>
      </w:r>
      <w:r>
        <w:rPr>
          <w:rFonts w:hint="eastAsia" w:ascii="宋体" w:hAnsi="宋体" w:cs="宋体"/>
          <w:b/>
          <w:bCs/>
          <w:kern w:val="0"/>
          <w:sz w:val="36"/>
          <w:szCs w:val="36"/>
        </w:rPr>
        <w:t>资格文件部分</w:t>
      </w:r>
    </w:p>
    <w:p>
      <w:pPr>
        <w:spacing w:line="360" w:lineRule="auto"/>
        <w:jc w:val="center"/>
        <w:rPr>
          <w:rFonts w:ascii="宋体"/>
          <w:b/>
          <w:bCs/>
          <w:kern w:val="0"/>
          <w:sz w:val="36"/>
          <w:szCs w:val="36"/>
        </w:rPr>
      </w:pPr>
    </w:p>
    <w:p>
      <w:pPr>
        <w:spacing w:line="360" w:lineRule="auto"/>
        <w:jc w:val="center"/>
        <w:rPr>
          <w:rFonts w:ascii="宋体"/>
          <w:b/>
          <w:bCs/>
          <w:kern w:val="0"/>
          <w:sz w:val="36"/>
          <w:szCs w:val="36"/>
        </w:rPr>
      </w:pPr>
      <w:r>
        <w:rPr>
          <w:rFonts w:hint="eastAsia" w:ascii="宋体" w:hAnsi="宋体" w:cs="宋体"/>
          <w:b/>
          <w:bCs/>
          <w:kern w:val="0"/>
          <w:sz w:val="36"/>
          <w:szCs w:val="36"/>
        </w:rPr>
        <w:t>目录</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）法定代表人授权书；（格式见附件）</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）营业执照</w:t>
      </w:r>
      <w:r>
        <w:rPr>
          <w:rFonts w:ascii="宋体" w:hAnsi="宋体" w:cs="宋体"/>
          <w:sz w:val="24"/>
          <w:szCs w:val="24"/>
        </w:rPr>
        <w:t>(</w:t>
      </w:r>
      <w:r>
        <w:rPr>
          <w:rFonts w:hint="eastAsia" w:ascii="宋体" w:hAnsi="宋体" w:cs="宋体"/>
          <w:sz w:val="24"/>
          <w:szCs w:val="24"/>
        </w:rPr>
        <w:t>或事业法人登记证或其他工商等登记证明材料</w:t>
      </w:r>
      <w:r>
        <w:rPr>
          <w:rFonts w:ascii="宋体" w:hAnsi="宋体" w:cs="宋体"/>
          <w:sz w:val="24"/>
          <w:szCs w:val="24"/>
        </w:rPr>
        <w:t>)</w:t>
      </w:r>
      <w:r>
        <w:rPr>
          <w:rFonts w:hint="eastAsia" w:ascii="宋体" w:hAnsi="宋体" w:cs="宋体"/>
          <w:sz w:val="24"/>
          <w:szCs w:val="24"/>
        </w:rPr>
        <w:t>复印件、税务登记证</w:t>
      </w:r>
      <w:r>
        <w:rPr>
          <w:rFonts w:ascii="宋体" w:hAnsi="宋体" w:cs="宋体"/>
          <w:sz w:val="24"/>
          <w:szCs w:val="24"/>
        </w:rPr>
        <w:t>(</w:t>
      </w:r>
      <w:r>
        <w:rPr>
          <w:rFonts w:hint="eastAsia" w:ascii="宋体" w:hAnsi="宋体" w:cs="宋体"/>
          <w:sz w:val="24"/>
          <w:szCs w:val="24"/>
        </w:rPr>
        <w:t>或其它缴纳证明材料</w:t>
      </w:r>
      <w:r>
        <w:rPr>
          <w:rFonts w:ascii="宋体" w:hAnsi="宋体" w:cs="宋体"/>
          <w:sz w:val="24"/>
          <w:szCs w:val="24"/>
        </w:rPr>
        <w:t>)</w:t>
      </w:r>
      <w:r>
        <w:rPr>
          <w:rFonts w:hint="eastAsia" w:ascii="宋体" w:hAnsi="宋体" w:cs="宋体"/>
          <w:sz w:val="24"/>
          <w:szCs w:val="24"/>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sz w:val="24"/>
          <w:szCs w:val="24"/>
        </w:rPr>
      </w:pPr>
      <w:r>
        <w:rPr>
          <w:rFonts w:hint="eastAsia" w:ascii="宋体" w:hAnsi="宋体" w:cs="宋体"/>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）具有履行合同所必需的产品和专业技术能力的承诺函；</w:t>
      </w:r>
    </w:p>
    <w:p>
      <w:pPr>
        <w:spacing w:line="360" w:lineRule="auto"/>
        <w:ind w:firstLine="480" w:firstLineChars="200"/>
        <w:rPr>
          <w:rFonts w:ascii="宋体" w:hAnsi="宋体" w:cs="宋体"/>
          <w:sz w:val="24"/>
          <w:szCs w:val="24"/>
        </w:rPr>
      </w:pPr>
      <w:r>
        <w:rPr>
          <w:rFonts w:hint="eastAsia" w:ascii="宋体" w:hAnsi="宋体" w:cs="宋体"/>
          <w:sz w:val="24"/>
          <w:szCs w:val="24"/>
        </w:rPr>
        <w:t>（4）投标人承诺函（格式见附件）。</w:t>
      </w:r>
    </w:p>
    <w:p>
      <w:pPr>
        <w:pStyle w:val="10"/>
        <w:ind w:firstLine="0"/>
        <w:rPr>
          <w:rFonts w:cs="Times New Roman"/>
        </w:rPr>
      </w:pPr>
    </w:p>
    <w:p>
      <w:pPr>
        <w:rPr>
          <w:rFonts w:ascii="宋体"/>
        </w:rPr>
      </w:pPr>
      <w:r>
        <w:rPr>
          <w:rFonts w:ascii="宋体"/>
        </w:rPr>
        <w:br w:type="page"/>
      </w:r>
      <w:bookmarkStart w:id="87" w:name="_Toc24699"/>
    </w:p>
    <w:p>
      <w:pPr>
        <w:rPr>
          <w:b/>
          <w:bCs/>
        </w:rPr>
      </w:pPr>
      <w:r>
        <w:rPr>
          <w:rFonts w:hint="eastAsia" w:cs="宋体"/>
          <w:b/>
          <w:bCs/>
        </w:rPr>
        <w:t>附件一：</w:t>
      </w:r>
    </w:p>
    <w:p>
      <w:pPr>
        <w:spacing w:line="360" w:lineRule="auto"/>
        <w:jc w:val="center"/>
        <w:rPr>
          <w:rFonts w:ascii="宋体"/>
          <w:b/>
          <w:bCs/>
          <w:sz w:val="32"/>
          <w:szCs w:val="32"/>
        </w:rPr>
      </w:pPr>
      <w:r>
        <w:rPr>
          <w:rFonts w:hint="eastAsia" w:ascii="宋体" w:hAnsi="宋体" w:cs="宋体"/>
          <w:b/>
          <w:bCs/>
          <w:sz w:val="32"/>
          <w:szCs w:val="32"/>
        </w:rPr>
        <w:t>法定代表人授权书</w:t>
      </w:r>
      <w:bookmarkEnd w:id="87"/>
    </w:p>
    <w:p>
      <w:pPr>
        <w:pStyle w:val="5"/>
        <w:spacing w:line="360" w:lineRule="auto"/>
        <w:rPr>
          <w:rFonts w:ascii="宋体"/>
        </w:rPr>
      </w:pPr>
    </w:p>
    <w:p>
      <w:pPr>
        <w:spacing w:line="360" w:lineRule="auto"/>
        <w:ind w:firstLine="480" w:firstLineChars="200"/>
        <w:rPr>
          <w:rFonts w:ascii="宋体"/>
          <w:sz w:val="24"/>
          <w:szCs w:val="24"/>
        </w:rPr>
      </w:pPr>
      <w:r>
        <w:rPr>
          <w:rFonts w:hint="eastAsia" w:ascii="宋体" w:hAnsi="宋体" w:cs="宋体"/>
          <w:sz w:val="24"/>
          <w:szCs w:val="24"/>
        </w:rPr>
        <w:t>绍兴市上虞区水文站：</w:t>
      </w:r>
    </w:p>
    <w:p>
      <w:pPr>
        <w:spacing w:line="360" w:lineRule="auto"/>
        <w:ind w:firstLine="480" w:firstLineChars="200"/>
        <w:rPr>
          <w:rFonts w:ascii="宋体"/>
          <w:sz w:val="24"/>
          <w:szCs w:val="24"/>
        </w:rPr>
      </w:pPr>
      <w:r>
        <w:rPr>
          <w:rFonts w:hint="eastAsia" w:ascii="宋体" w:hAnsi="宋体" w:cs="宋体"/>
          <w:sz w:val="24"/>
          <w:szCs w:val="24"/>
        </w:rPr>
        <w:t>浙江天平项目咨询有限公司：</w:t>
      </w:r>
    </w:p>
    <w:p>
      <w:pPr>
        <w:spacing w:line="360" w:lineRule="auto"/>
        <w:ind w:firstLine="480" w:firstLineChars="200"/>
        <w:rPr>
          <w:rFonts w:ascii="宋体"/>
          <w:sz w:val="24"/>
          <w:szCs w:val="24"/>
        </w:rPr>
      </w:pPr>
      <w:r>
        <w:rPr>
          <w:rFonts w:ascii="宋体" w:hAnsi="宋体" w:cs="宋体"/>
          <w:sz w:val="24"/>
          <w:szCs w:val="24"/>
          <w:u w:val="single"/>
        </w:rPr>
        <w:t xml:space="preserve">  </w:t>
      </w:r>
      <w:r>
        <w:rPr>
          <w:rFonts w:hint="eastAsia" w:ascii="宋体" w:hAnsi="宋体" w:cs="宋体"/>
          <w:sz w:val="24"/>
          <w:szCs w:val="24"/>
          <w:u w:val="single"/>
        </w:rPr>
        <w:t>（供应商全称）</w:t>
      </w:r>
      <w:r>
        <w:rPr>
          <w:rFonts w:ascii="宋体" w:hAnsi="宋体" w:cs="宋体"/>
          <w:sz w:val="24"/>
          <w:szCs w:val="24"/>
          <w:u w:val="single"/>
        </w:rPr>
        <w:t xml:space="preserve"> </w:t>
      </w: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授权</w:t>
      </w:r>
      <w:r>
        <w:rPr>
          <w:rFonts w:hint="eastAsia" w:ascii="宋体" w:hAnsi="宋体" w:cs="宋体"/>
          <w:sz w:val="24"/>
          <w:szCs w:val="24"/>
          <w:u w:val="single"/>
        </w:rPr>
        <w:t>（授权代表名称）</w:t>
      </w:r>
      <w:r>
        <w:rPr>
          <w:rFonts w:hint="eastAsia" w:ascii="宋体" w:hAnsi="宋体" w:cs="宋体"/>
          <w:sz w:val="24"/>
          <w:szCs w:val="24"/>
        </w:rPr>
        <w:t>为授权代表，参加贵处组织的</w:t>
      </w:r>
      <w:r>
        <w:rPr>
          <w:rFonts w:ascii="宋体" w:hAnsi="宋体" w:cs="宋体"/>
          <w:sz w:val="24"/>
          <w:szCs w:val="24"/>
          <w:u w:val="single"/>
        </w:rPr>
        <w:t xml:space="preserve">         </w:t>
      </w:r>
      <w:r>
        <w:rPr>
          <w:rFonts w:hint="eastAsia" w:ascii="宋体" w:hAnsi="宋体" w:cs="宋体"/>
          <w:sz w:val="24"/>
          <w:szCs w:val="24"/>
        </w:rPr>
        <w:t>项目</w:t>
      </w:r>
      <w:r>
        <w:rPr>
          <w:rFonts w:hint="eastAsia" w:ascii="宋体" w:hAnsi="宋体" w:cs="宋体"/>
          <w:sz w:val="24"/>
          <w:szCs w:val="24"/>
          <w:u w:val="single"/>
        </w:rPr>
        <w:t>（括号内填写招标编号）</w:t>
      </w:r>
      <w:r>
        <w:rPr>
          <w:rFonts w:hint="eastAsia" w:ascii="宋体" w:hAnsi="宋体" w:cs="宋体"/>
          <w:sz w:val="24"/>
          <w:szCs w:val="24"/>
        </w:rPr>
        <w:t>，授权处理招投标活动中的一切事宜。</w:t>
      </w: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法定代表人签字：</w:t>
      </w:r>
    </w:p>
    <w:p>
      <w:pPr>
        <w:spacing w:line="360" w:lineRule="auto"/>
        <w:ind w:firstLine="480" w:firstLineChars="200"/>
        <w:rPr>
          <w:rFonts w:ascii="宋体"/>
          <w:sz w:val="24"/>
          <w:szCs w:val="24"/>
        </w:rPr>
      </w:pPr>
      <w:r>
        <w:rPr>
          <w:rFonts w:hint="eastAsia" w:ascii="宋体" w:hAnsi="宋体" w:cs="宋体"/>
          <w:sz w:val="24"/>
          <w:szCs w:val="24"/>
        </w:rPr>
        <w:t>供应商全称：（盖章）</w:t>
      </w:r>
    </w:p>
    <w:p>
      <w:pPr>
        <w:spacing w:line="360" w:lineRule="auto"/>
        <w:ind w:firstLine="480" w:firstLineChars="200"/>
        <w:rPr>
          <w:rFonts w:ascii="宋体"/>
          <w:sz w:val="24"/>
          <w:szCs w:val="24"/>
        </w:rPr>
      </w:pPr>
      <w:r>
        <w:rPr>
          <w:rFonts w:hint="eastAsia" w:ascii="宋体" w:hAnsi="宋体" w:cs="宋体"/>
          <w:sz w:val="24"/>
          <w:szCs w:val="24"/>
        </w:rPr>
        <w:t>日期：</w:t>
      </w:r>
    </w:p>
    <w:p>
      <w:pPr>
        <w:spacing w:line="360" w:lineRule="auto"/>
        <w:ind w:firstLine="480" w:firstLineChars="200"/>
        <w:rPr>
          <w:rFonts w:ascii="宋体"/>
          <w:sz w:val="24"/>
          <w:szCs w:val="24"/>
        </w:rPr>
      </w:pPr>
      <w:r>
        <w:rPr>
          <w:rFonts w:hint="eastAsia" w:ascii="宋体" w:hAnsi="宋体" w:cs="宋体"/>
          <w:sz w:val="24"/>
          <w:szCs w:val="24"/>
        </w:rPr>
        <w:t>附：</w:t>
      </w:r>
    </w:p>
    <w:p>
      <w:pPr>
        <w:spacing w:line="360" w:lineRule="auto"/>
        <w:ind w:firstLine="480" w:firstLineChars="200"/>
        <w:rPr>
          <w:rFonts w:ascii="宋体"/>
          <w:sz w:val="24"/>
          <w:szCs w:val="24"/>
        </w:rPr>
      </w:pPr>
      <w:r>
        <w:rPr>
          <w:rFonts w:hint="eastAsia" w:ascii="宋体" w:hAnsi="宋体" w:cs="宋体"/>
          <w:sz w:val="24"/>
          <w:szCs w:val="24"/>
        </w:rPr>
        <w:t>授权代表姓名：</w:t>
      </w:r>
    </w:p>
    <w:p>
      <w:pPr>
        <w:spacing w:line="360" w:lineRule="auto"/>
        <w:ind w:firstLine="480" w:firstLineChars="200"/>
        <w:rPr>
          <w:rFonts w:ascii="宋体"/>
          <w:sz w:val="24"/>
          <w:szCs w:val="24"/>
        </w:rPr>
      </w:pPr>
      <w:r>
        <w:rPr>
          <w:rFonts w:hint="eastAsia" w:ascii="宋体" w:hAnsi="宋体" w:cs="宋体"/>
          <w:sz w:val="24"/>
          <w:szCs w:val="24"/>
        </w:rPr>
        <w:t>职务：</w:t>
      </w:r>
    </w:p>
    <w:p>
      <w:pPr>
        <w:spacing w:line="360" w:lineRule="auto"/>
        <w:ind w:firstLine="480" w:firstLineChars="200"/>
        <w:rPr>
          <w:rFonts w:ascii="宋体"/>
          <w:sz w:val="24"/>
          <w:szCs w:val="24"/>
        </w:rPr>
      </w:pPr>
      <w:r>
        <w:rPr>
          <w:rFonts w:hint="eastAsia" w:ascii="宋体" w:hAnsi="宋体" w:cs="宋体"/>
          <w:sz w:val="24"/>
          <w:szCs w:val="24"/>
        </w:rPr>
        <w:t>详细通讯地址：</w:t>
      </w:r>
    </w:p>
    <w:p>
      <w:pPr>
        <w:spacing w:line="360" w:lineRule="auto"/>
        <w:ind w:firstLine="480" w:firstLineChars="200"/>
        <w:rPr>
          <w:rFonts w:ascii="宋体"/>
          <w:sz w:val="24"/>
          <w:szCs w:val="24"/>
        </w:rPr>
      </w:pPr>
      <w:r>
        <w:rPr>
          <w:rFonts w:hint="eastAsia" w:ascii="宋体" w:hAnsi="宋体" w:cs="宋体"/>
          <w:sz w:val="24"/>
          <w:szCs w:val="24"/>
        </w:rPr>
        <w:t>传真：</w:t>
      </w:r>
    </w:p>
    <w:p>
      <w:pPr>
        <w:spacing w:line="360" w:lineRule="auto"/>
        <w:ind w:firstLine="480" w:firstLineChars="200"/>
        <w:rPr>
          <w:rFonts w:ascii="宋体"/>
          <w:sz w:val="24"/>
          <w:szCs w:val="24"/>
        </w:rPr>
      </w:pPr>
      <w:r>
        <w:rPr>
          <w:rFonts w:hint="eastAsia" w:ascii="宋体" w:hAnsi="宋体" w:cs="宋体"/>
          <w:sz w:val="24"/>
          <w:szCs w:val="24"/>
        </w:rPr>
        <w:t>电话：</w:t>
      </w:r>
    </w:p>
    <w:p>
      <w:pPr>
        <w:spacing w:line="360" w:lineRule="auto"/>
        <w:ind w:firstLine="480" w:firstLineChars="200"/>
        <w:rPr>
          <w:rFonts w:ascii="宋体"/>
          <w:sz w:val="24"/>
          <w:szCs w:val="24"/>
        </w:rPr>
      </w:pPr>
      <w:r>
        <w:rPr>
          <w:rFonts w:hint="eastAsia" w:ascii="宋体" w:hAnsi="宋体" w:cs="宋体"/>
          <w:sz w:val="24"/>
          <w:szCs w:val="24"/>
        </w:rPr>
        <w:t>邮政编码：</w:t>
      </w:r>
    </w:p>
    <w:p>
      <w:pPr>
        <w:pStyle w:val="12"/>
        <w:snapToGrid w:val="0"/>
        <w:spacing w:line="360" w:lineRule="auto"/>
        <w:rPr>
          <w:rFonts w:hAnsi="宋体" w:cs="Times New Roman"/>
          <w:sz w:val="24"/>
          <w:szCs w:val="24"/>
        </w:rPr>
      </w:pPr>
    </w:p>
    <w:p>
      <w:pPr>
        <w:pStyle w:val="12"/>
        <w:snapToGrid w:val="0"/>
        <w:spacing w:line="360" w:lineRule="auto"/>
        <w:rPr>
          <w:rFonts w:hAnsi="宋体" w:cs="Times New Roman"/>
          <w:sz w:val="24"/>
          <w:szCs w:val="24"/>
        </w:rPr>
      </w:pPr>
    </w:p>
    <w:p>
      <w:pPr>
        <w:pStyle w:val="12"/>
        <w:snapToGrid w:val="0"/>
        <w:spacing w:line="360" w:lineRule="auto"/>
        <w:rPr>
          <w:rFonts w:hAnsi="宋体" w:cs="Times New Roman"/>
          <w:sz w:val="24"/>
          <w:szCs w:val="24"/>
        </w:rPr>
      </w:pPr>
    </w:p>
    <w:p>
      <w:pPr>
        <w:spacing w:line="360" w:lineRule="auto"/>
        <w:rPr>
          <w:rFonts w:ascii="宋体"/>
          <w:b/>
          <w:bCs/>
          <w:sz w:val="24"/>
          <w:szCs w:val="24"/>
        </w:rPr>
      </w:pPr>
      <w:r>
        <w:rPr>
          <w:rFonts w:hint="eastAsia" w:ascii="宋体" w:hAnsi="宋体" w:cs="宋体"/>
          <w:b/>
          <w:bCs/>
          <w:sz w:val="24"/>
          <w:szCs w:val="24"/>
        </w:rPr>
        <w:t>附：授权代表身份证复印件（正反面）</w:t>
      </w:r>
    </w:p>
    <w:p>
      <w:pPr>
        <w:spacing w:line="360" w:lineRule="auto"/>
        <w:rPr>
          <w:rFonts w:ascii="宋体"/>
          <w:b/>
          <w:bCs/>
          <w:sz w:val="24"/>
          <w:szCs w:val="24"/>
        </w:rPr>
      </w:pPr>
    </w:p>
    <w:p>
      <w:pPr>
        <w:pStyle w:val="10"/>
        <w:ind w:firstLine="486"/>
        <w:rPr>
          <w:rFonts w:cs="Times New Roman"/>
        </w:rPr>
      </w:pPr>
    </w:p>
    <w:p>
      <w:pPr>
        <w:snapToGrid w:val="0"/>
        <w:spacing w:before="50" w:afterLines="50"/>
        <w:jc w:val="left"/>
        <w:rPr>
          <w:rFonts w:ascii="宋体" w:hAnsi="宋体" w:cs="宋体"/>
          <w:b/>
          <w:bCs/>
          <w:sz w:val="24"/>
          <w:szCs w:val="24"/>
          <w:lang w:val="zh-CN"/>
        </w:rPr>
      </w:pPr>
      <w:r>
        <w:rPr>
          <w:rFonts w:ascii="宋体"/>
          <w:b/>
          <w:bCs/>
          <w:sz w:val="24"/>
          <w:szCs w:val="24"/>
        </w:rPr>
        <w:br w:type="page"/>
      </w:r>
      <w:r>
        <w:rPr>
          <w:rFonts w:hint="eastAsia" w:ascii="宋体" w:hAnsi="宋体" w:cs="宋体"/>
          <w:b/>
          <w:bCs/>
          <w:sz w:val="24"/>
          <w:szCs w:val="24"/>
          <w:lang w:val="zh-CN"/>
        </w:rPr>
        <w:t>附件二：</w:t>
      </w:r>
    </w:p>
    <w:p>
      <w:pPr>
        <w:spacing w:line="360" w:lineRule="auto"/>
        <w:jc w:val="center"/>
        <w:rPr>
          <w:rFonts w:ascii="宋体" w:hAnsi="宋体" w:cs="宋体"/>
          <w:b/>
          <w:bCs/>
          <w:sz w:val="32"/>
          <w:szCs w:val="32"/>
        </w:rPr>
      </w:pPr>
      <w:r>
        <w:rPr>
          <w:rFonts w:hint="eastAsia" w:ascii="宋体" w:hAnsi="宋体" w:cs="宋体"/>
          <w:b/>
          <w:bCs/>
          <w:sz w:val="32"/>
          <w:szCs w:val="32"/>
        </w:rPr>
        <w:t>投 标 人 承 诺 函</w:t>
      </w:r>
    </w:p>
    <w:p>
      <w:pPr>
        <w:pStyle w:val="18"/>
      </w:pPr>
    </w:p>
    <w:p>
      <w:pPr>
        <w:spacing w:line="360" w:lineRule="auto"/>
        <w:ind w:firstLine="480" w:firstLineChars="200"/>
        <w:rPr>
          <w:rFonts w:ascii="宋体" w:hAnsi="宋体" w:cs="宋体"/>
          <w:sz w:val="24"/>
        </w:rPr>
      </w:pPr>
      <w:r>
        <w:rPr>
          <w:rFonts w:hint="eastAsia" w:ascii="宋体" w:hAnsi="宋体" w:cs="宋体"/>
          <w:sz w:val="24"/>
        </w:rPr>
        <w:t>绍兴市上虞区水文站 ：</w:t>
      </w:r>
    </w:p>
    <w:p>
      <w:pPr>
        <w:spacing w:line="360" w:lineRule="auto"/>
        <w:ind w:firstLine="480" w:firstLineChars="200"/>
        <w:rPr>
          <w:rFonts w:ascii="宋体" w:hAnsi="宋体" w:cs="宋体"/>
          <w:sz w:val="24"/>
        </w:rPr>
      </w:pPr>
      <w:r>
        <w:rPr>
          <w:rFonts w:hint="eastAsia" w:ascii="宋体" w:hAnsi="宋体" w:cs="宋体"/>
          <w:sz w:val="24"/>
        </w:rPr>
        <w:t>浙江天平项目咨询有限公司：</w:t>
      </w:r>
    </w:p>
    <w:p>
      <w:pPr>
        <w:spacing w:line="360" w:lineRule="auto"/>
        <w:ind w:firstLine="480" w:firstLineChars="200"/>
        <w:rPr>
          <w:rFonts w:ascii="宋体" w:hAnsi="宋体" w:cs="宋体"/>
          <w:sz w:val="24"/>
        </w:rPr>
      </w:pPr>
      <w:r>
        <w:rPr>
          <w:rFonts w:hint="eastAsia" w:ascii="宋体" w:hAnsi="宋体" w:cs="宋体"/>
          <w:sz w:val="24"/>
          <w:u w:val="single"/>
        </w:rPr>
        <w:t>（投标人名称）</w:t>
      </w:r>
      <w:r>
        <w:rPr>
          <w:rFonts w:hint="eastAsia" w:ascii="宋体" w:hAnsi="宋体" w:cs="宋体"/>
          <w:sz w:val="24"/>
        </w:rPr>
        <w:t>系中华人民共和国合法企业，经营地址</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我</w:t>
      </w:r>
      <w:r>
        <w:rPr>
          <w:rFonts w:hint="eastAsia" w:ascii="宋体" w:hAnsi="宋体" w:cs="宋体"/>
          <w:sz w:val="24"/>
          <w:u w:val="single"/>
        </w:rPr>
        <w:t>（姓名）</w:t>
      </w:r>
      <w:r>
        <w:rPr>
          <w:rFonts w:hint="eastAsia" w:ascii="宋体" w:hAnsi="宋体" w:cs="宋体"/>
          <w:sz w:val="24"/>
        </w:rPr>
        <w:t>系</w:t>
      </w:r>
      <w:r>
        <w:rPr>
          <w:rFonts w:hint="eastAsia" w:ascii="宋体" w:hAnsi="宋体" w:cs="宋体"/>
          <w:sz w:val="24"/>
          <w:u w:val="single"/>
        </w:rPr>
        <w:t>（投标人名称）</w:t>
      </w:r>
      <w:r>
        <w:rPr>
          <w:rFonts w:hint="eastAsia" w:ascii="宋体" w:hAnsi="宋体" w:cs="宋体"/>
          <w:sz w:val="24"/>
        </w:rPr>
        <w:t>的法定代表人，我方愿意参加贵方组织的</w:t>
      </w:r>
      <w:r>
        <w:rPr>
          <w:rFonts w:hint="eastAsia" w:ascii="宋体" w:hAnsi="宋体" w:cs="宋体"/>
          <w:sz w:val="24"/>
          <w:u w:val="single"/>
        </w:rPr>
        <w:t>（招标项目名称）（编号为）</w:t>
      </w:r>
      <w:r>
        <w:rPr>
          <w:rFonts w:hint="eastAsia" w:ascii="宋体" w:hAnsi="宋体" w:cs="宋体"/>
          <w:sz w:val="24"/>
        </w:rPr>
        <w:t>的投标，为此，我方就本次投标有关事项郑重承诺如下：</w:t>
      </w:r>
    </w:p>
    <w:p>
      <w:pPr>
        <w:spacing w:line="360" w:lineRule="auto"/>
        <w:ind w:firstLine="480" w:firstLineChars="200"/>
        <w:rPr>
          <w:rFonts w:ascii="宋体" w:hAnsi="宋体" w:cs="宋体"/>
          <w:sz w:val="24"/>
        </w:rPr>
      </w:pPr>
      <w:r>
        <w:rPr>
          <w:rFonts w:hint="eastAsia" w:ascii="宋体" w:hAnsi="宋体" w:cs="宋体"/>
          <w:sz w:val="24"/>
        </w:rPr>
        <w:t>1.我方已详细审查全部招标文件，同意招标文件的各项要求。</w:t>
      </w:r>
    </w:p>
    <w:p>
      <w:pPr>
        <w:spacing w:line="360" w:lineRule="auto"/>
        <w:ind w:firstLine="480" w:firstLineChars="200"/>
        <w:rPr>
          <w:rFonts w:ascii="宋体" w:hAnsi="宋体" w:cs="宋体"/>
          <w:sz w:val="24"/>
        </w:rPr>
      </w:pPr>
      <w:r>
        <w:rPr>
          <w:rFonts w:hint="eastAsia" w:ascii="宋体" w:hAnsi="宋体" w:cs="宋体"/>
          <w:sz w:val="24"/>
        </w:rPr>
        <w:t>2.我方向贵方提交的所有投标文件、资料都是准确的和真实的。</w:t>
      </w:r>
    </w:p>
    <w:p>
      <w:pPr>
        <w:spacing w:line="360" w:lineRule="auto"/>
        <w:ind w:firstLine="480" w:firstLineChars="200"/>
        <w:rPr>
          <w:rFonts w:ascii="宋体" w:hAnsi="宋体" w:cs="宋体"/>
          <w:sz w:val="24"/>
        </w:rPr>
      </w:pPr>
      <w:r>
        <w:rPr>
          <w:rFonts w:hint="eastAsia" w:ascii="宋体" w:hAnsi="宋体" w:cs="宋体"/>
          <w:sz w:val="24"/>
        </w:rPr>
        <w:t>3.若中标，我方将按招标文件规定履行合同责任和义务。</w:t>
      </w:r>
    </w:p>
    <w:p>
      <w:pPr>
        <w:spacing w:line="360" w:lineRule="auto"/>
        <w:ind w:firstLine="480" w:firstLineChars="200"/>
        <w:rPr>
          <w:rFonts w:ascii="宋体" w:hAnsi="宋体" w:cs="宋体"/>
          <w:sz w:val="24"/>
        </w:rPr>
      </w:pPr>
      <w:r>
        <w:rPr>
          <w:rFonts w:hint="eastAsia" w:ascii="宋体" w:hAnsi="宋体" w:cs="宋体"/>
          <w:sz w:val="24"/>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sz w:val="24"/>
        </w:rPr>
      </w:pPr>
      <w:r>
        <w:rPr>
          <w:rFonts w:hint="eastAsia" w:ascii="宋体" w:hAnsi="宋体" w:cs="宋体"/>
          <w:sz w:val="24"/>
        </w:rPr>
        <w:t>5.投标文件自开标日起有效期为90天。</w:t>
      </w:r>
    </w:p>
    <w:p>
      <w:pPr>
        <w:spacing w:line="360" w:lineRule="auto"/>
        <w:ind w:firstLine="480" w:firstLineChars="200"/>
        <w:rPr>
          <w:rFonts w:ascii="宋体" w:hAnsi="宋体" w:cs="宋体"/>
          <w:sz w:val="24"/>
        </w:rPr>
      </w:pPr>
      <w:r>
        <w:rPr>
          <w:rFonts w:hint="eastAsia" w:ascii="宋体" w:hAnsi="宋体" w:cs="宋体"/>
          <w:sz w:val="24"/>
        </w:rPr>
        <w:t>6.我方参与本项目前3年内的经营活动中没有重大违法记录；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7.我方通过“信用中国”网站（www.creditchina.gov.cn）、中国政府采购网（www.ccgp.gov.cn）查询，未被列入失信被执行人、重大税收违法案件当事人名单、政府采购严重违法失信行为记录名单。</w:t>
      </w:r>
    </w:p>
    <w:p>
      <w:pPr>
        <w:pStyle w:val="53"/>
        <w:spacing w:before="0"/>
        <w:ind w:firstLine="480"/>
        <w:jc w:val="left"/>
        <w:rPr>
          <w:rFonts w:ascii="宋体" w:hAnsi="宋体" w:cs="宋体"/>
        </w:rPr>
      </w:pPr>
      <w:r>
        <w:rPr>
          <w:rFonts w:hint="eastAsia" w:ascii="宋体" w:hAnsi="宋体" w:cs="宋体"/>
        </w:rPr>
        <w:t>8.具有良好的商业信誉和健全的财务会计制度；</w:t>
      </w:r>
    </w:p>
    <w:p>
      <w:pPr>
        <w:spacing w:line="360" w:lineRule="auto"/>
        <w:ind w:firstLine="480" w:firstLineChars="200"/>
        <w:rPr>
          <w:rFonts w:ascii="宋体" w:hAnsi="宋体" w:cs="宋体"/>
          <w:sz w:val="24"/>
        </w:rPr>
      </w:pPr>
      <w:r>
        <w:rPr>
          <w:rFonts w:hint="eastAsia" w:ascii="宋体" w:hAnsi="宋体" w:cs="宋体"/>
          <w:sz w:val="24"/>
        </w:rPr>
        <w:t>9.具有依法缴纳税收和社会保障资金的良好记录；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10.以上事项如有虚假或隐瞒，我方愿意承担一切后果，并不再寻求任何旨在减轻或免除法律责任的辩解。</w:t>
      </w:r>
    </w:p>
    <w:p>
      <w:pPr>
        <w:spacing w:line="360" w:lineRule="auto"/>
        <w:ind w:firstLine="480" w:firstLineChars="200"/>
        <w:rPr>
          <w:rFonts w:ascii="宋体" w:hAnsi="宋体" w:cs="宋体"/>
          <w:sz w:val="24"/>
        </w:rPr>
      </w:pPr>
    </w:p>
    <w:p>
      <w:pPr>
        <w:pStyle w:val="10"/>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pacing w:line="360" w:lineRule="auto"/>
        <w:ind w:left="3780" w:leftChars="1800" w:firstLine="480" w:firstLineChars="200"/>
        <w:rPr>
          <w:rFonts w:ascii="宋体"/>
          <w:sz w:val="24"/>
          <w:szCs w:val="24"/>
        </w:rPr>
      </w:pPr>
    </w:p>
    <w:p>
      <w:pPr>
        <w:rPr>
          <w:rFonts w:ascii="宋体" w:hAnsi="宋体" w:cs="宋体"/>
          <w:b/>
          <w:bCs/>
          <w:kern w:val="0"/>
          <w:sz w:val="36"/>
          <w:szCs w:val="36"/>
        </w:rPr>
      </w:pPr>
      <w:r>
        <w:rPr>
          <w:rFonts w:hint="eastAsia" w:ascii="宋体" w:hAnsi="宋体" w:cs="宋体"/>
          <w:b/>
          <w:bCs/>
          <w:kern w:val="0"/>
          <w:sz w:val="36"/>
          <w:szCs w:val="36"/>
        </w:rPr>
        <w:br w:type="page"/>
      </w:r>
    </w:p>
    <w:p>
      <w:pPr>
        <w:spacing w:line="360" w:lineRule="auto"/>
        <w:jc w:val="left"/>
        <w:rPr>
          <w:rFonts w:ascii="宋体"/>
          <w:b/>
          <w:bCs/>
          <w:sz w:val="32"/>
          <w:szCs w:val="32"/>
        </w:rPr>
      </w:pPr>
      <w:r>
        <w:rPr>
          <w:rFonts w:hint="eastAsia" w:ascii="宋体" w:hAnsi="宋体" w:cs="宋体"/>
          <w:b/>
          <w:bCs/>
          <w:sz w:val="24"/>
          <w:szCs w:val="24"/>
          <w:lang w:val="zh-CN"/>
        </w:rPr>
        <w:t>附件</w:t>
      </w:r>
      <w:r>
        <w:rPr>
          <w:rFonts w:hint="eastAsia" w:ascii="宋体" w:hAnsi="宋体" w:cs="宋体"/>
          <w:b/>
          <w:bCs/>
          <w:sz w:val="24"/>
          <w:szCs w:val="24"/>
        </w:rPr>
        <w:t>三</w:t>
      </w:r>
      <w:r>
        <w:rPr>
          <w:rFonts w:hint="eastAsia" w:ascii="宋体" w:hAnsi="宋体" w:cs="宋体"/>
          <w:b/>
          <w:bCs/>
          <w:sz w:val="24"/>
          <w:szCs w:val="24"/>
          <w:lang w:val="zh-CN"/>
        </w:rPr>
        <w:t>：</w:t>
      </w:r>
    </w:p>
    <w:p>
      <w:pPr>
        <w:spacing w:line="360" w:lineRule="auto"/>
        <w:jc w:val="center"/>
        <w:rPr>
          <w:rFonts w:ascii="宋体"/>
          <w:b/>
          <w:bCs/>
          <w:sz w:val="32"/>
          <w:szCs w:val="32"/>
        </w:rPr>
      </w:pPr>
      <w:r>
        <w:rPr>
          <w:rFonts w:hint="eastAsia" w:ascii="宋体" w:hAnsi="宋体" w:cs="宋体"/>
          <w:b/>
          <w:bCs/>
          <w:sz w:val="32"/>
          <w:szCs w:val="32"/>
        </w:rPr>
        <w:t>中小企业声明函</w:t>
      </w:r>
    </w:p>
    <w:p>
      <w:pPr>
        <w:widowControl/>
        <w:snapToGrid w:val="0"/>
        <w:spacing w:line="324" w:lineRule="auto"/>
        <w:ind w:firstLine="480" w:firstLineChars="200"/>
        <w:jc w:val="center"/>
        <w:rPr>
          <w:rFonts w:ascii="宋体"/>
          <w:kern w:val="0"/>
          <w:sz w:val="24"/>
          <w:szCs w:val="24"/>
        </w:rPr>
      </w:pPr>
      <w:r>
        <w:rPr>
          <w:rFonts w:hint="eastAsia" w:ascii="宋体" w:hAnsi="宋体" w:cs="宋体"/>
          <w:kern w:val="0"/>
          <w:sz w:val="24"/>
          <w:szCs w:val="24"/>
        </w:rPr>
        <w:t>【不属于中小企业的无需填写、递交】</w:t>
      </w:r>
    </w:p>
    <w:p>
      <w:pPr>
        <w:spacing w:line="288" w:lineRule="auto"/>
        <w:ind w:firstLine="480" w:firstLineChars="200"/>
        <w:jc w:val="left"/>
        <w:rPr>
          <w:rFonts w:ascii="宋体" w:hAnsi="宋体" w:cs="宋体"/>
          <w:sz w:val="24"/>
          <w:szCs w:val="24"/>
        </w:rPr>
      </w:pPr>
      <w:r>
        <w:rPr>
          <w:rFonts w:hint="eastAsia" w:ascii="宋体" w:hAnsi="宋体" w:cs="宋体"/>
          <w:sz w:val="24"/>
          <w:szCs w:val="24"/>
        </w:rPr>
        <w:t>本公司（联合体）郑重声明，根据《政府采购促进中小企业发展管理办法》 （财库﹝2020﹞46 号）的规定，本公司（联合体）参加</w:t>
      </w:r>
      <w:r>
        <w:rPr>
          <w:rFonts w:hint="eastAsia" w:ascii="宋体" w:hAnsi="宋体" w:cs="宋体"/>
          <w:sz w:val="24"/>
          <w:szCs w:val="24"/>
          <w:u w:val="single"/>
        </w:rPr>
        <w:t xml:space="preserve"> （采购人名称） </w:t>
      </w:r>
      <w:r>
        <w:rPr>
          <w:rFonts w:hint="eastAsia" w:ascii="宋体" w:hAnsi="宋体" w:cs="宋体"/>
          <w:sz w:val="24"/>
          <w:szCs w:val="24"/>
        </w:rPr>
        <w:t>的</w:t>
      </w:r>
      <w:r>
        <w:rPr>
          <w:rFonts w:hint="eastAsia" w:ascii="宋体" w:hAnsi="宋体" w:cs="宋体"/>
          <w:sz w:val="24"/>
          <w:szCs w:val="24"/>
          <w:u w:val="single"/>
        </w:rPr>
        <w:t xml:space="preserve"> （项目名称）     </w:t>
      </w:r>
      <w:r>
        <w:rPr>
          <w:rFonts w:hint="eastAsia" w:ascii="宋体" w:hAnsi="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288" w:lineRule="auto"/>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u w:val="single"/>
        </w:rPr>
        <w:t xml:space="preserve">  （项目名称）</w:t>
      </w:r>
      <w:r>
        <w:rPr>
          <w:rFonts w:hint="eastAsia" w:ascii="宋体" w:hAnsi="宋体" w:cs="宋体"/>
          <w:sz w:val="24"/>
          <w:szCs w:val="24"/>
        </w:rPr>
        <w:t>，属于</w:t>
      </w:r>
      <w:r>
        <w:rPr>
          <w:rFonts w:hint="eastAsia" w:ascii="宋体" w:hAnsi="宋体" w:cs="宋体"/>
          <w:sz w:val="24"/>
          <w:szCs w:val="24"/>
          <w:u w:val="single"/>
        </w:rPr>
        <w:t xml:space="preserve">                  （采购文件中明确的所属行业）</w:t>
      </w:r>
      <w:r>
        <w:rPr>
          <w:rFonts w:hint="eastAsia" w:ascii="宋体" w:hAnsi="宋体" w:cs="宋体"/>
          <w:sz w:val="24"/>
          <w:szCs w:val="24"/>
        </w:rPr>
        <w:t>；承建（承接）企业为</w:t>
      </w:r>
      <w:r>
        <w:rPr>
          <w:rFonts w:hint="eastAsia" w:ascii="宋体" w:hAnsi="宋体" w:cs="宋体"/>
          <w:sz w:val="24"/>
          <w:szCs w:val="24"/>
          <w:u w:val="single"/>
        </w:rPr>
        <w:t xml:space="preserve">           （企业名称） </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 ，属于</w:t>
      </w:r>
      <w:r>
        <w:rPr>
          <w:rFonts w:hint="eastAsia" w:ascii="宋体" w:hAnsi="宋体" w:cs="宋体"/>
          <w:sz w:val="24"/>
          <w:szCs w:val="24"/>
          <w:u w:val="single"/>
        </w:rPr>
        <w:t xml:space="preserve">       （中型企业、小型企业、微型企业）</w:t>
      </w:r>
      <w:r>
        <w:rPr>
          <w:rFonts w:hint="eastAsia" w:ascii="宋体" w:hAnsi="宋体" w:cs="宋体"/>
          <w:sz w:val="24"/>
          <w:szCs w:val="24"/>
        </w:rPr>
        <w:t xml:space="preserve"> ；</w:t>
      </w:r>
    </w:p>
    <w:p>
      <w:pPr>
        <w:spacing w:line="288" w:lineRule="auto"/>
        <w:ind w:firstLine="480" w:firstLineChars="200"/>
        <w:jc w:val="left"/>
        <w:rPr>
          <w:rFonts w:ascii="宋体" w:hAnsi="宋体" w:cs="宋体"/>
          <w:sz w:val="24"/>
          <w:szCs w:val="24"/>
        </w:rPr>
      </w:pPr>
      <w:r>
        <w:rPr>
          <w:rFonts w:hint="eastAsia" w:ascii="宋体" w:hAnsi="宋体" w:cs="宋体"/>
          <w:sz w:val="24"/>
          <w:szCs w:val="24"/>
        </w:rPr>
        <w:t>……</w:t>
      </w:r>
    </w:p>
    <w:p>
      <w:pPr>
        <w:spacing w:line="288" w:lineRule="auto"/>
        <w:ind w:firstLine="480" w:firstLineChars="200"/>
        <w:jc w:val="left"/>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288" w:lineRule="auto"/>
        <w:ind w:firstLine="480" w:firstLineChars="200"/>
        <w:jc w:val="left"/>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288" w:lineRule="auto"/>
        <w:ind w:right="420" w:firstLine="4320" w:firstLineChars="1800"/>
        <w:rPr>
          <w:rFonts w:ascii="宋体" w:hAnsi="宋体" w:cs="宋体"/>
          <w:sz w:val="24"/>
          <w:szCs w:val="24"/>
        </w:rPr>
      </w:pPr>
    </w:p>
    <w:p>
      <w:pPr>
        <w:spacing w:line="288" w:lineRule="auto"/>
        <w:ind w:right="420" w:firstLine="4320" w:firstLineChars="1800"/>
        <w:rPr>
          <w:rFonts w:ascii="宋体" w:hAnsi="宋体" w:cs="宋体"/>
          <w:sz w:val="24"/>
          <w:szCs w:val="24"/>
        </w:rPr>
      </w:pPr>
    </w:p>
    <w:p>
      <w:pPr>
        <w:spacing w:line="288" w:lineRule="auto"/>
        <w:ind w:right="420" w:firstLine="4800" w:firstLineChars="2000"/>
        <w:rPr>
          <w:rFonts w:ascii="宋体" w:hAnsi="宋体" w:cs="宋体"/>
          <w:sz w:val="24"/>
          <w:szCs w:val="24"/>
        </w:rPr>
      </w:pPr>
      <w:r>
        <w:rPr>
          <w:rFonts w:hint="eastAsia" w:ascii="宋体" w:hAnsi="宋体" w:cs="宋体"/>
          <w:sz w:val="24"/>
          <w:szCs w:val="24"/>
        </w:rPr>
        <w:t xml:space="preserve">企业名称（盖章）： </w:t>
      </w:r>
    </w:p>
    <w:p>
      <w:pPr>
        <w:spacing w:line="288" w:lineRule="auto"/>
        <w:ind w:left="3780" w:leftChars="1800" w:firstLine="960" w:firstLineChars="400"/>
        <w:rPr>
          <w:rFonts w:ascii="宋体" w:hAnsi="宋体" w:cs="宋体"/>
          <w:sz w:val="24"/>
          <w:szCs w:val="24"/>
        </w:rPr>
      </w:pPr>
      <w:r>
        <w:rPr>
          <w:rFonts w:hint="eastAsia" w:ascii="宋体" w:hAnsi="宋体" w:cs="宋体"/>
          <w:sz w:val="24"/>
          <w:szCs w:val="24"/>
        </w:rPr>
        <w:t>日期：   年     月     日</w:t>
      </w:r>
    </w:p>
    <w:p>
      <w:pPr>
        <w:pStyle w:val="5"/>
        <w:spacing w:line="288" w:lineRule="auto"/>
        <w:rPr>
          <w:rFonts w:ascii="宋体" w:hAnsi="宋体" w:cs="宋体"/>
          <w:sz w:val="24"/>
          <w:szCs w:val="24"/>
        </w:rPr>
      </w:pPr>
    </w:p>
    <w:p>
      <w:pPr>
        <w:spacing w:line="288" w:lineRule="auto"/>
        <w:ind w:firstLine="480" w:firstLineChars="200"/>
        <w:jc w:val="left"/>
        <w:rPr>
          <w:rFonts w:ascii="宋体" w:hAnsi="宋体" w:cs="宋体"/>
          <w:sz w:val="24"/>
          <w:szCs w:val="24"/>
        </w:rPr>
      </w:pPr>
    </w:p>
    <w:p>
      <w:pPr>
        <w:spacing w:line="288" w:lineRule="auto"/>
        <w:ind w:firstLine="480" w:firstLineChars="200"/>
        <w:jc w:val="left"/>
        <w:rPr>
          <w:rFonts w:ascii="宋体" w:hAnsi="宋体" w:cs="宋体"/>
          <w:sz w:val="24"/>
          <w:szCs w:val="24"/>
        </w:rPr>
      </w:pPr>
    </w:p>
    <w:p>
      <w:pPr>
        <w:spacing w:line="288" w:lineRule="auto"/>
        <w:ind w:firstLine="480" w:firstLineChars="200"/>
        <w:jc w:val="left"/>
        <w:rPr>
          <w:rFonts w:ascii="宋体" w:hAnsi="宋体" w:cs="宋体"/>
          <w:sz w:val="24"/>
          <w:szCs w:val="24"/>
        </w:rPr>
      </w:pPr>
    </w:p>
    <w:p>
      <w:pPr>
        <w:spacing w:line="288" w:lineRule="auto"/>
        <w:ind w:firstLine="480" w:firstLineChars="200"/>
        <w:jc w:val="left"/>
        <w:rPr>
          <w:rFonts w:ascii="宋体" w:hAnsi="宋体" w:cs="宋体"/>
          <w:sz w:val="24"/>
          <w:szCs w:val="24"/>
        </w:rPr>
      </w:pPr>
      <w:r>
        <w:rPr>
          <w:rFonts w:hint="eastAsia" w:ascii="宋体" w:hAnsi="宋体" w:cs="宋体"/>
          <w:sz w:val="24"/>
          <w:szCs w:val="24"/>
        </w:rPr>
        <w:t>注：从业人员、营业收入、资产总额填报上一年度数据，无上一年度数据的新成立企业可不填报。</w:t>
      </w:r>
    </w:p>
    <w:p>
      <w:pPr>
        <w:widowControl/>
        <w:snapToGrid w:val="0"/>
        <w:spacing w:line="324" w:lineRule="auto"/>
        <w:ind w:firstLine="480" w:firstLineChars="200"/>
        <w:jc w:val="left"/>
        <w:rPr>
          <w:rFonts w:ascii="宋体"/>
          <w:sz w:val="24"/>
          <w:szCs w:val="24"/>
        </w:rPr>
      </w:pPr>
    </w:p>
    <w:p>
      <w:pPr>
        <w:pStyle w:val="4"/>
        <w:spacing w:line="360" w:lineRule="auto"/>
        <w:jc w:val="center"/>
        <w:rPr>
          <w:rFonts w:hAnsi="宋体" w:cs="Times New Roman"/>
          <w:sz w:val="24"/>
          <w:szCs w:val="24"/>
        </w:rPr>
      </w:pPr>
    </w:p>
    <w:p>
      <w:pPr>
        <w:pStyle w:val="4"/>
        <w:spacing w:line="360" w:lineRule="auto"/>
        <w:jc w:val="center"/>
        <w:rPr>
          <w:rFonts w:hAnsi="宋体" w:cs="Times New Roman"/>
          <w:sz w:val="24"/>
          <w:szCs w:val="24"/>
        </w:rPr>
      </w:pPr>
    </w:p>
    <w:p>
      <w:pPr>
        <w:jc w:val="center"/>
        <w:rPr>
          <w:lang w:val="zh-CN"/>
        </w:rPr>
      </w:pPr>
      <w:bookmarkStart w:id="88" w:name="_Toc30916"/>
      <w:bookmarkStart w:id="89" w:name="_Toc2071"/>
      <w:bookmarkStart w:id="90" w:name="_Toc3295"/>
      <w:r>
        <w:rPr>
          <w:rFonts w:hAnsi="宋体"/>
        </w:rPr>
        <w:br w:type="page"/>
      </w:r>
      <w:bookmarkEnd w:id="88"/>
      <w:bookmarkEnd w:id="89"/>
      <w:bookmarkEnd w:id="90"/>
    </w:p>
    <w:p>
      <w:pPr>
        <w:rPr>
          <w:b/>
          <w:bCs/>
          <w:sz w:val="24"/>
          <w:szCs w:val="24"/>
          <w:lang w:val="zh-CN"/>
        </w:rPr>
      </w:pPr>
      <w:bookmarkStart w:id="91" w:name="_Toc16150"/>
      <w:bookmarkStart w:id="92" w:name="_Toc31472"/>
      <w:bookmarkStart w:id="93" w:name="_Toc9715"/>
      <w:bookmarkStart w:id="94" w:name="_Toc25017"/>
      <w:r>
        <w:rPr>
          <w:rFonts w:hint="eastAsia" w:cs="宋体"/>
          <w:b/>
          <w:bCs/>
          <w:sz w:val="24"/>
          <w:szCs w:val="24"/>
          <w:lang w:val="zh-CN"/>
        </w:rPr>
        <w:t>附件</w:t>
      </w:r>
      <w:r>
        <w:rPr>
          <w:rFonts w:hint="eastAsia" w:cs="宋体"/>
          <w:b/>
          <w:bCs/>
          <w:sz w:val="24"/>
          <w:szCs w:val="24"/>
        </w:rPr>
        <w:t>四：</w:t>
      </w:r>
    </w:p>
    <w:p>
      <w:pPr>
        <w:spacing w:line="360" w:lineRule="auto"/>
        <w:jc w:val="center"/>
        <w:rPr>
          <w:rFonts w:ascii="宋体"/>
          <w:b/>
          <w:bCs/>
          <w:sz w:val="32"/>
          <w:szCs w:val="32"/>
        </w:rPr>
      </w:pPr>
      <w:r>
        <w:rPr>
          <w:rFonts w:hint="eastAsia" w:ascii="宋体" w:hAnsi="宋体" w:cs="宋体"/>
          <w:b/>
          <w:bCs/>
          <w:sz w:val="32"/>
          <w:szCs w:val="32"/>
        </w:rPr>
        <w:t>残疾人福利性单位声明函</w:t>
      </w:r>
      <w:bookmarkEnd w:id="91"/>
      <w:bookmarkEnd w:id="92"/>
      <w:bookmarkEnd w:id="93"/>
      <w:bookmarkEnd w:id="94"/>
    </w:p>
    <w:p>
      <w:pPr>
        <w:widowControl/>
        <w:snapToGrid w:val="0"/>
        <w:spacing w:line="324" w:lineRule="auto"/>
        <w:ind w:firstLine="480" w:firstLineChars="200"/>
        <w:jc w:val="center"/>
        <w:rPr>
          <w:rFonts w:ascii="宋体"/>
          <w:kern w:val="0"/>
          <w:sz w:val="24"/>
          <w:szCs w:val="24"/>
        </w:rPr>
      </w:pPr>
      <w:r>
        <w:rPr>
          <w:rFonts w:hint="eastAsia" w:ascii="宋体" w:hAnsi="宋体" w:cs="宋体"/>
          <w:kern w:val="0"/>
          <w:sz w:val="24"/>
          <w:szCs w:val="24"/>
        </w:rPr>
        <w:t>【不属于残疾人福利性单位的无需填写、递交】</w:t>
      </w:r>
    </w:p>
    <w:p>
      <w:pPr>
        <w:spacing w:line="588" w:lineRule="exact"/>
        <w:rPr>
          <w:rFonts w:ascii="宋体"/>
          <w:b/>
          <w:bCs/>
          <w:spacing w:val="6"/>
          <w:sz w:val="30"/>
          <w:szCs w:val="30"/>
        </w:rPr>
      </w:pPr>
    </w:p>
    <w:p>
      <w:pPr>
        <w:spacing w:line="588" w:lineRule="exact"/>
        <w:ind w:firstLine="480" w:firstLineChars="200"/>
        <w:rPr>
          <w:rFonts w:ascii="宋体"/>
          <w:sz w:val="24"/>
          <w:szCs w:val="24"/>
        </w:rPr>
      </w:pPr>
      <w:r>
        <w:rPr>
          <w:rFonts w:hint="eastAsia" w:ascii="宋体" w:hAnsi="宋体" w:cs="宋体"/>
          <w:sz w:val="24"/>
          <w:szCs w:val="24"/>
        </w:rPr>
        <w:t>本单位郑重声明，根据《财政部</w:t>
      </w:r>
      <w:r>
        <w:rPr>
          <w:rFonts w:ascii="宋体" w:hAnsi="宋体" w:cs="宋体"/>
          <w:sz w:val="24"/>
          <w:szCs w:val="24"/>
        </w:rPr>
        <w:t xml:space="preserve"> </w:t>
      </w:r>
      <w:r>
        <w:rPr>
          <w:rFonts w:hint="eastAsia" w:ascii="宋体" w:hAnsi="宋体" w:cs="宋体"/>
          <w:sz w:val="24"/>
          <w:szCs w:val="24"/>
        </w:rPr>
        <w:t>民政部</w:t>
      </w:r>
      <w:r>
        <w:rPr>
          <w:rFonts w:ascii="宋体" w:hAnsi="宋体" w:cs="宋体"/>
          <w:sz w:val="24"/>
          <w:szCs w:val="24"/>
        </w:rPr>
        <w:t xml:space="preserve"> </w:t>
      </w:r>
      <w:r>
        <w:rPr>
          <w:rFonts w:hint="eastAsia" w:ascii="宋体" w:hAnsi="宋体" w:cs="宋体"/>
          <w:sz w:val="24"/>
          <w:szCs w:val="24"/>
        </w:rPr>
        <w:t>中国残疾人联合会关于促进残疾人就业政府采购政策的通知》（财库〔</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 xml:space="preserve"> 141</w:t>
      </w:r>
      <w:r>
        <w:rPr>
          <w:rFonts w:hint="eastAsia" w:ascii="宋体" w:hAnsi="宋体" w:cs="宋体"/>
          <w:sz w:val="24"/>
          <w:szCs w:val="24"/>
        </w:rPr>
        <w:t>号）的规定，本单位为符合条件的残疾人福利性单位，且本单位参加</w:t>
      </w:r>
      <w:r>
        <w:rPr>
          <w:rFonts w:ascii="宋体" w:hAnsi="宋体" w:cs="宋体"/>
          <w:sz w:val="24"/>
          <w:szCs w:val="24"/>
        </w:rPr>
        <w:t>______</w:t>
      </w:r>
      <w:r>
        <w:rPr>
          <w:rFonts w:hint="eastAsia" w:ascii="宋体" w:hAnsi="宋体" w:cs="宋体"/>
          <w:sz w:val="24"/>
          <w:szCs w:val="24"/>
        </w:rPr>
        <w:t>单位的</w:t>
      </w:r>
      <w:r>
        <w:rPr>
          <w:rFonts w:ascii="宋体" w:hAnsi="宋体" w:cs="宋体"/>
          <w:sz w:val="24"/>
          <w:szCs w:val="24"/>
        </w:rPr>
        <w:t>______</w:t>
      </w:r>
      <w:r>
        <w:rPr>
          <w:rFonts w:hint="eastAsia" w:ascii="宋体" w:hAnsi="宋体" w:cs="宋体"/>
          <w:sz w:val="24"/>
          <w:szCs w:val="24"/>
        </w:rPr>
        <w:t>项目采购活动提供本单位服务，或者提供其他残疾人福利性单位提供的服务。本单位对上述声明的真实性负责。如有虚假，将依法承担相应责任。</w:t>
      </w:r>
    </w:p>
    <w:p>
      <w:pPr>
        <w:pStyle w:val="4"/>
        <w:rPr>
          <w:rFonts w:cs="Times New Roman"/>
        </w:rPr>
      </w:pPr>
    </w:p>
    <w:p>
      <w:pPr>
        <w:pStyle w:val="5"/>
      </w:pPr>
    </w:p>
    <w:p>
      <w:pPr>
        <w:spacing w:line="588" w:lineRule="exact"/>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78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rPr>
          <w:b/>
          <w:bCs/>
          <w:sz w:val="24"/>
          <w:szCs w:val="24"/>
          <w:lang w:val="zh-CN"/>
        </w:rPr>
      </w:pPr>
      <w:bookmarkStart w:id="95" w:name="_Toc5441"/>
      <w:bookmarkStart w:id="96" w:name="_Toc24"/>
      <w:bookmarkStart w:id="97" w:name="_Toc15966"/>
      <w:bookmarkStart w:id="98" w:name="_Toc2386"/>
      <w:r>
        <w:rPr>
          <w:sz w:val="24"/>
          <w:szCs w:val="24"/>
          <w:lang w:val="zh-CN"/>
        </w:rPr>
        <w:br w:type="page"/>
      </w:r>
      <w:r>
        <w:rPr>
          <w:rFonts w:hint="eastAsia" w:cs="宋体"/>
          <w:b/>
          <w:bCs/>
          <w:sz w:val="24"/>
          <w:szCs w:val="24"/>
          <w:lang w:val="zh-CN"/>
        </w:rPr>
        <w:t>附件</w:t>
      </w:r>
      <w:r>
        <w:rPr>
          <w:rFonts w:hint="eastAsia" w:cs="宋体"/>
          <w:b/>
          <w:bCs/>
          <w:sz w:val="24"/>
          <w:szCs w:val="24"/>
        </w:rPr>
        <w:t>五：</w:t>
      </w:r>
    </w:p>
    <w:p>
      <w:pPr>
        <w:spacing w:line="360" w:lineRule="auto"/>
        <w:jc w:val="center"/>
        <w:rPr>
          <w:rFonts w:ascii="宋体"/>
          <w:b/>
          <w:bCs/>
          <w:sz w:val="32"/>
          <w:szCs w:val="32"/>
        </w:rPr>
      </w:pPr>
      <w:r>
        <w:rPr>
          <w:rFonts w:hint="eastAsia" w:ascii="宋体" w:hAnsi="宋体" w:cs="宋体"/>
          <w:b/>
          <w:bCs/>
          <w:sz w:val="32"/>
          <w:szCs w:val="32"/>
        </w:rPr>
        <w:t>监狱企业证明文件</w:t>
      </w:r>
      <w:bookmarkEnd w:id="95"/>
      <w:bookmarkEnd w:id="96"/>
      <w:bookmarkEnd w:id="97"/>
      <w:bookmarkEnd w:id="98"/>
    </w:p>
    <w:p>
      <w:pPr>
        <w:widowControl/>
        <w:snapToGrid w:val="0"/>
        <w:spacing w:line="360" w:lineRule="auto"/>
        <w:jc w:val="center"/>
        <w:rPr>
          <w:rFonts w:ascii="宋体"/>
          <w:kern w:val="0"/>
          <w:sz w:val="28"/>
          <w:szCs w:val="28"/>
        </w:rPr>
      </w:pPr>
      <w:r>
        <w:rPr>
          <w:rFonts w:hint="eastAsia" w:ascii="宋体" w:hAnsi="宋体" w:cs="宋体"/>
          <w:kern w:val="0"/>
          <w:sz w:val="28"/>
          <w:szCs w:val="28"/>
        </w:rPr>
        <w:t>【不属于监狱企业的无需填写、递交】</w:t>
      </w:r>
    </w:p>
    <w:p>
      <w:pPr>
        <w:widowControl/>
        <w:snapToGrid w:val="0"/>
        <w:spacing w:line="324" w:lineRule="auto"/>
        <w:jc w:val="center"/>
        <w:rPr>
          <w:rFonts w:ascii="宋体"/>
          <w:kern w:val="0"/>
          <w:sz w:val="24"/>
          <w:szCs w:val="24"/>
        </w:rPr>
      </w:pPr>
    </w:p>
    <w:p>
      <w:pPr>
        <w:spacing w:line="588" w:lineRule="exact"/>
        <w:ind w:firstLine="480" w:firstLineChars="200"/>
        <w:rPr>
          <w:rFonts w:ascii="宋体"/>
          <w:sz w:val="24"/>
          <w:szCs w:val="24"/>
        </w:rPr>
      </w:pPr>
    </w:p>
    <w:p>
      <w:pPr>
        <w:adjustRightInd w:val="0"/>
        <w:snapToGrid w:val="0"/>
        <w:spacing w:beforeLines="50" w:line="360" w:lineRule="auto"/>
        <w:ind w:firstLine="480" w:firstLineChars="200"/>
        <w:rPr>
          <w:rFonts w:ascii="宋体"/>
          <w:sz w:val="24"/>
          <w:szCs w:val="24"/>
        </w:rPr>
      </w:pPr>
      <w:r>
        <w:rPr>
          <w:rFonts w:hint="eastAsia" w:ascii="宋体" w:hAnsi="宋体" w:cs="宋体"/>
          <w:sz w:val="24"/>
          <w:szCs w:val="24"/>
        </w:rPr>
        <w:t>监狱企业需提供省级以上的监狱管理局、戒毒管理局（含新疆生产建设兵团）出具的属于监狱企业的证明文件。</w:t>
      </w:r>
      <w:r>
        <w:rPr>
          <w:rFonts w:ascii="宋体" w:hAnsi="宋体" w:cs="宋体"/>
          <w:sz w:val="24"/>
          <w:szCs w:val="24"/>
        </w:rPr>
        <w:t xml:space="preserve">  </w:t>
      </w:r>
    </w:p>
    <w:p>
      <w:pPr>
        <w:pStyle w:val="4"/>
        <w:rPr>
          <w:rFonts w:cs="Times New Roman"/>
        </w:rPr>
      </w:pPr>
    </w:p>
    <w:p>
      <w:pPr>
        <w:pStyle w:val="5"/>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78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rPr>
          <w:rFonts w:ascii="宋体" w:hAnsi="宋体" w:cs="宋体"/>
          <w:b/>
          <w:bCs/>
          <w:kern w:val="0"/>
          <w:sz w:val="36"/>
          <w:szCs w:val="36"/>
        </w:rPr>
      </w:pPr>
      <w:r>
        <w:rPr>
          <w:rFonts w:hint="eastAsia" w:ascii="宋体" w:hAnsi="宋体" w:cs="宋体"/>
          <w:sz w:val="24"/>
          <w:szCs w:val="24"/>
        </w:rPr>
        <w:t>供应商全称（公章）：</w:t>
      </w:r>
      <w:r>
        <w:rPr>
          <w:rFonts w:hint="eastAsia" w:ascii="宋体" w:hAnsi="宋体" w:cs="宋体"/>
          <w:b/>
          <w:bCs/>
          <w:kern w:val="0"/>
          <w:sz w:val="36"/>
          <w:szCs w:val="36"/>
        </w:rPr>
        <w:br w:type="page"/>
      </w:r>
    </w:p>
    <w:p>
      <w:pPr>
        <w:spacing w:line="360" w:lineRule="auto"/>
        <w:jc w:val="center"/>
        <w:rPr>
          <w:rFonts w:ascii="宋体"/>
          <w:b/>
          <w:bCs/>
          <w:kern w:val="0"/>
          <w:sz w:val="36"/>
          <w:szCs w:val="36"/>
        </w:rPr>
      </w:pPr>
      <w:r>
        <w:rPr>
          <w:rFonts w:hint="eastAsia" w:ascii="宋体" w:hAnsi="宋体" w:cs="宋体"/>
          <w:b/>
          <w:bCs/>
          <w:kern w:val="0"/>
          <w:sz w:val="36"/>
          <w:szCs w:val="36"/>
        </w:rPr>
        <w:t>商务技术文件</w:t>
      </w:r>
    </w:p>
    <w:p>
      <w:pPr>
        <w:spacing w:line="360" w:lineRule="auto"/>
        <w:jc w:val="center"/>
        <w:rPr>
          <w:rFonts w:ascii="宋体"/>
          <w:b/>
          <w:bCs/>
          <w:kern w:val="0"/>
          <w:sz w:val="36"/>
          <w:szCs w:val="36"/>
        </w:rPr>
      </w:pPr>
    </w:p>
    <w:p>
      <w:pPr>
        <w:spacing w:line="360" w:lineRule="auto"/>
        <w:jc w:val="center"/>
        <w:rPr>
          <w:rFonts w:ascii="宋体"/>
          <w:b/>
          <w:bCs/>
          <w:kern w:val="0"/>
          <w:sz w:val="36"/>
          <w:szCs w:val="36"/>
        </w:rPr>
      </w:pPr>
      <w:r>
        <w:rPr>
          <w:rFonts w:hint="eastAsia" w:ascii="宋体" w:hAnsi="宋体" w:cs="宋体"/>
          <w:b/>
          <w:bCs/>
          <w:kern w:val="0"/>
          <w:sz w:val="36"/>
          <w:szCs w:val="36"/>
        </w:rPr>
        <w:t>目录</w:t>
      </w:r>
    </w:p>
    <w:p>
      <w:pPr>
        <w:pStyle w:val="10"/>
        <w:ind w:left="426" w:firstLine="486"/>
        <w:rPr>
          <w:rFonts w:cs="Times New Roman"/>
        </w:rPr>
      </w:pPr>
    </w:p>
    <w:p>
      <w:pPr>
        <w:pStyle w:val="53"/>
        <w:numPr>
          <w:ilvl w:val="0"/>
          <w:numId w:val="19"/>
        </w:numPr>
        <w:spacing w:before="0" w:line="336" w:lineRule="auto"/>
        <w:ind w:firstLine="426" w:firstLineChars="0"/>
        <w:rPr>
          <w:rFonts w:ascii="宋体"/>
        </w:rPr>
      </w:pPr>
      <w:r>
        <w:rPr>
          <w:rFonts w:hint="eastAsia" w:ascii="宋体" w:hAnsi="宋体" w:cs="宋体"/>
        </w:rPr>
        <w:t>评分对应表（格式见附件，主要用于评委对应评分内容）</w:t>
      </w:r>
    </w:p>
    <w:p>
      <w:pPr>
        <w:pStyle w:val="53"/>
        <w:numPr>
          <w:ilvl w:val="0"/>
          <w:numId w:val="19"/>
        </w:numPr>
        <w:spacing w:before="0" w:line="336" w:lineRule="auto"/>
        <w:ind w:firstLine="480"/>
        <w:rPr>
          <w:rFonts w:ascii="宋体"/>
        </w:rPr>
      </w:pPr>
      <w:r>
        <w:rPr>
          <w:rFonts w:hint="eastAsia" w:ascii="宋体" w:hAnsi="宋体" w:cs="宋体"/>
        </w:rPr>
        <w:t>供应商商务技术文件中资信分自评表（格式见附件）；</w:t>
      </w:r>
    </w:p>
    <w:p>
      <w:pPr>
        <w:pStyle w:val="53"/>
        <w:numPr>
          <w:ilvl w:val="0"/>
          <w:numId w:val="19"/>
        </w:numPr>
        <w:spacing w:before="0" w:line="336" w:lineRule="auto"/>
        <w:ind w:firstLine="480"/>
        <w:rPr>
          <w:rFonts w:ascii="宋体"/>
        </w:rPr>
      </w:pPr>
      <w:r>
        <w:rPr>
          <w:rFonts w:hint="eastAsia" w:ascii="宋体" w:hAnsi="宋体" w:cs="宋体"/>
        </w:rPr>
        <w:t>磋商项目明细清单（格式见附件）；</w:t>
      </w:r>
    </w:p>
    <w:p>
      <w:pPr>
        <w:pStyle w:val="53"/>
        <w:numPr>
          <w:ilvl w:val="0"/>
          <w:numId w:val="19"/>
        </w:numPr>
        <w:spacing w:before="0" w:line="336" w:lineRule="auto"/>
        <w:ind w:firstLine="480"/>
        <w:rPr>
          <w:rFonts w:ascii="宋体"/>
        </w:rPr>
      </w:pPr>
      <w:r>
        <w:rPr>
          <w:rFonts w:hint="eastAsia" w:ascii="宋体" w:hAnsi="宋体" w:cs="宋体"/>
        </w:rPr>
        <w:t>技术响应及建议表（格式见附件）；</w:t>
      </w:r>
    </w:p>
    <w:p>
      <w:pPr>
        <w:pStyle w:val="53"/>
        <w:numPr>
          <w:ilvl w:val="0"/>
          <w:numId w:val="19"/>
        </w:numPr>
        <w:spacing w:before="0" w:line="336" w:lineRule="auto"/>
        <w:ind w:firstLine="480"/>
        <w:rPr>
          <w:rFonts w:ascii="宋体" w:hAnsi="宋体" w:cs="宋体"/>
        </w:rPr>
      </w:pPr>
      <w:r>
        <w:rPr>
          <w:rFonts w:hint="eastAsia" w:ascii="宋体" w:hAnsi="宋体" w:cs="宋体"/>
        </w:rPr>
        <w:t>商务响应表（格式见附件）；</w:t>
      </w:r>
    </w:p>
    <w:p>
      <w:pPr>
        <w:pStyle w:val="53"/>
        <w:numPr>
          <w:ilvl w:val="0"/>
          <w:numId w:val="19"/>
        </w:numPr>
        <w:spacing w:before="0" w:line="336" w:lineRule="auto"/>
        <w:ind w:firstLine="480"/>
        <w:rPr>
          <w:rFonts w:ascii="宋体" w:hAnsi="宋体" w:cs="宋体"/>
        </w:rPr>
      </w:pPr>
      <w:r>
        <w:rPr>
          <w:rFonts w:hint="eastAsia" w:ascii="宋体" w:hAnsi="宋体" w:cs="宋体"/>
        </w:rPr>
        <w:t>项目实施方案；</w:t>
      </w:r>
    </w:p>
    <w:p>
      <w:pPr>
        <w:pStyle w:val="53"/>
        <w:numPr>
          <w:ilvl w:val="0"/>
          <w:numId w:val="19"/>
        </w:numPr>
        <w:spacing w:before="0" w:line="336" w:lineRule="auto"/>
        <w:ind w:firstLine="480"/>
        <w:rPr>
          <w:rFonts w:ascii="宋体" w:hAnsi="宋体" w:cs="宋体"/>
        </w:rPr>
      </w:pPr>
      <w:r>
        <w:rPr>
          <w:rFonts w:hint="eastAsia" w:ascii="宋体" w:hAnsi="宋体" w:cs="宋体"/>
        </w:rPr>
        <w:t>项目人员；</w:t>
      </w:r>
    </w:p>
    <w:p>
      <w:pPr>
        <w:pStyle w:val="53"/>
        <w:numPr>
          <w:ilvl w:val="0"/>
          <w:numId w:val="19"/>
        </w:numPr>
        <w:spacing w:before="0" w:line="336" w:lineRule="auto"/>
        <w:ind w:firstLine="480"/>
        <w:rPr>
          <w:rFonts w:ascii="宋体" w:hAnsi="宋体" w:cs="宋体"/>
        </w:rPr>
      </w:pPr>
      <w:r>
        <w:rPr>
          <w:rFonts w:hint="eastAsia" w:ascii="宋体" w:hAnsi="宋体" w:cs="宋体"/>
        </w:rPr>
        <w:t>数据存储服务；</w:t>
      </w:r>
    </w:p>
    <w:p>
      <w:pPr>
        <w:pStyle w:val="53"/>
        <w:numPr>
          <w:ilvl w:val="0"/>
          <w:numId w:val="19"/>
        </w:numPr>
        <w:spacing w:before="0" w:line="336" w:lineRule="auto"/>
        <w:ind w:firstLine="480"/>
        <w:rPr>
          <w:rFonts w:ascii="宋体" w:hAnsi="宋体" w:cs="宋体"/>
        </w:rPr>
      </w:pPr>
      <w:r>
        <w:rPr>
          <w:rFonts w:hint="eastAsia" w:ascii="宋体" w:hAnsi="宋体" w:cs="宋体"/>
        </w:rPr>
        <w:t>服务质量保证和承诺；</w:t>
      </w:r>
    </w:p>
    <w:p>
      <w:pPr>
        <w:pStyle w:val="53"/>
        <w:numPr>
          <w:ilvl w:val="0"/>
          <w:numId w:val="19"/>
        </w:numPr>
        <w:spacing w:before="0" w:line="336" w:lineRule="auto"/>
        <w:ind w:firstLine="480"/>
        <w:rPr>
          <w:rFonts w:ascii="宋体" w:hAnsi="宋体" w:cs="宋体"/>
        </w:rPr>
      </w:pPr>
      <w:r>
        <w:rPr>
          <w:rFonts w:hint="eastAsia" w:ascii="宋体" w:hAnsi="宋体" w:cs="宋体"/>
        </w:rPr>
        <w:t>工作进度计划及保证措施；</w:t>
      </w:r>
    </w:p>
    <w:p>
      <w:pPr>
        <w:pStyle w:val="53"/>
        <w:numPr>
          <w:ilvl w:val="0"/>
          <w:numId w:val="19"/>
        </w:numPr>
        <w:spacing w:before="0" w:line="336" w:lineRule="auto"/>
        <w:ind w:firstLine="480"/>
        <w:rPr>
          <w:rFonts w:ascii="宋体" w:hAnsi="宋体" w:cs="宋体"/>
        </w:rPr>
      </w:pPr>
      <w:r>
        <w:rPr>
          <w:rFonts w:hint="eastAsia" w:ascii="宋体" w:hAnsi="宋体" w:cs="宋体"/>
        </w:rPr>
        <w:t>培训计划；</w:t>
      </w:r>
    </w:p>
    <w:p>
      <w:pPr>
        <w:pStyle w:val="53"/>
        <w:numPr>
          <w:ilvl w:val="0"/>
          <w:numId w:val="19"/>
        </w:numPr>
        <w:spacing w:before="0" w:line="336" w:lineRule="auto"/>
        <w:ind w:firstLine="480"/>
        <w:rPr>
          <w:rFonts w:ascii="宋体" w:hAnsi="宋体" w:cs="宋体"/>
        </w:rPr>
      </w:pPr>
      <w:r>
        <w:rPr>
          <w:rFonts w:hint="eastAsia" w:ascii="宋体" w:hAnsi="宋体" w:cs="宋体"/>
        </w:rPr>
        <w:t>技术支持服务；</w:t>
      </w:r>
    </w:p>
    <w:p>
      <w:pPr>
        <w:pStyle w:val="53"/>
        <w:numPr>
          <w:ilvl w:val="0"/>
          <w:numId w:val="19"/>
        </w:numPr>
        <w:spacing w:before="0" w:line="336" w:lineRule="auto"/>
        <w:ind w:firstLine="480"/>
        <w:rPr>
          <w:rFonts w:ascii="宋体" w:hAnsi="宋体" w:cs="宋体"/>
        </w:rPr>
      </w:pPr>
      <w:r>
        <w:rPr>
          <w:rFonts w:hint="eastAsia"/>
          <w:szCs w:val="21"/>
        </w:rPr>
        <w:t>国家发明专利；</w:t>
      </w:r>
    </w:p>
    <w:p>
      <w:pPr>
        <w:pStyle w:val="53"/>
        <w:numPr>
          <w:ilvl w:val="0"/>
          <w:numId w:val="19"/>
        </w:numPr>
        <w:spacing w:before="0" w:line="336" w:lineRule="auto"/>
        <w:ind w:firstLine="480"/>
        <w:rPr>
          <w:rFonts w:ascii="宋体" w:hAnsi="宋体" w:cs="宋体"/>
        </w:rPr>
      </w:pPr>
      <w:r>
        <w:rPr>
          <w:rFonts w:hint="eastAsia"/>
          <w:szCs w:val="21"/>
        </w:rPr>
        <w:t>投标人业绩；</w:t>
      </w:r>
    </w:p>
    <w:p>
      <w:pPr>
        <w:pStyle w:val="53"/>
        <w:numPr>
          <w:ilvl w:val="0"/>
          <w:numId w:val="19"/>
        </w:numPr>
        <w:spacing w:before="0" w:line="336" w:lineRule="auto"/>
        <w:ind w:firstLine="480"/>
        <w:rPr>
          <w:rFonts w:ascii="宋体" w:hAnsi="宋体" w:cs="宋体"/>
        </w:rPr>
      </w:pPr>
      <w:r>
        <w:rPr>
          <w:rFonts w:hint="eastAsia" w:ascii="宋体" w:hAnsi="宋体" w:cs="宋体"/>
        </w:rPr>
        <w:t>投标人荣誉；</w:t>
      </w:r>
    </w:p>
    <w:p>
      <w:pPr>
        <w:pStyle w:val="53"/>
        <w:numPr>
          <w:ilvl w:val="0"/>
          <w:numId w:val="19"/>
        </w:numPr>
        <w:spacing w:before="0" w:line="336" w:lineRule="auto"/>
        <w:ind w:firstLine="480"/>
        <w:rPr>
          <w:rFonts w:ascii="宋体" w:hAnsi="宋体" w:cs="宋体"/>
        </w:rPr>
      </w:pPr>
      <w:r>
        <w:rPr>
          <w:rFonts w:hint="eastAsia" w:ascii="宋体" w:hAnsi="宋体" w:cs="宋体"/>
        </w:rPr>
        <w:t>供应商认为需要的其他文件资料。</w:t>
      </w:r>
    </w:p>
    <w:p>
      <w:pPr>
        <w:spacing w:line="360" w:lineRule="auto"/>
        <w:ind w:firstLine="480" w:firstLineChars="200"/>
        <w:rPr>
          <w:rFonts w:ascii="宋体"/>
          <w:sz w:val="24"/>
          <w:szCs w:val="24"/>
        </w:rPr>
      </w:pPr>
    </w:p>
    <w:p>
      <w:pPr>
        <w:pStyle w:val="10"/>
        <w:ind w:firstLine="566"/>
        <w:rPr>
          <w:rFonts w:cs="Times New Roman"/>
          <w:sz w:val="28"/>
          <w:szCs w:val="28"/>
        </w:rPr>
      </w:pPr>
    </w:p>
    <w:p>
      <w:pPr>
        <w:pStyle w:val="10"/>
        <w:ind w:firstLine="566"/>
        <w:rPr>
          <w:rFonts w:cs="Times New Roman"/>
          <w:sz w:val="28"/>
          <w:szCs w:val="28"/>
        </w:rPr>
      </w:pPr>
    </w:p>
    <w:p>
      <w:pPr>
        <w:rPr>
          <w:rFonts w:ascii="宋体"/>
          <w:sz w:val="28"/>
          <w:szCs w:val="28"/>
        </w:rPr>
      </w:pPr>
      <w:r>
        <w:rPr>
          <w:rFonts w:ascii="宋体"/>
          <w:sz w:val="28"/>
          <w:szCs w:val="28"/>
        </w:rPr>
        <w:br w:type="page"/>
      </w:r>
    </w:p>
    <w:p>
      <w:pPr>
        <w:snapToGrid w:val="0"/>
        <w:spacing w:before="50" w:after="50"/>
        <w:jc w:val="left"/>
        <w:rPr>
          <w:rFonts w:ascii="宋体"/>
          <w:b/>
          <w:bCs/>
          <w:sz w:val="24"/>
          <w:szCs w:val="24"/>
          <w:lang w:val="zh-CN"/>
        </w:rPr>
      </w:pPr>
      <w:bookmarkStart w:id="99" w:name="_Toc10131"/>
      <w:r>
        <w:rPr>
          <w:rFonts w:hint="eastAsia" w:ascii="宋体" w:hAnsi="宋体" w:cs="宋体"/>
          <w:b/>
          <w:bCs/>
          <w:sz w:val="24"/>
          <w:szCs w:val="24"/>
          <w:lang w:val="zh-CN"/>
        </w:rPr>
        <w:t>附件</w:t>
      </w:r>
      <w:r>
        <w:rPr>
          <w:rFonts w:hint="eastAsia" w:ascii="宋体" w:hAnsi="宋体" w:cs="宋体"/>
          <w:b/>
          <w:bCs/>
          <w:sz w:val="24"/>
          <w:szCs w:val="24"/>
        </w:rPr>
        <w:t>六</w:t>
      </w:r>
      <w:r>
        <w:rPr>
          <w:rFonts w:hint="eastAsia" w:ascii="宋体" w:hAnsi="宋体" w:cs="宋体"/>
          <w:b/>
          <w:bCs/>
          <w:sz w:val="24"/>
          <w:szCs w:val="24"/>
          <w:lang w:val="zh-CN"/>
        </w:rPr>
        <w:t>：</w:t>
      </w:r>
    </w:p>
    <w:p>
      <w:pPr>
        <w:spacing w:line="360" w:lineRule="auto"/>
        <w:jc w:val="center"/>
        <w:rPr>
          <w:rFonts w:ascii="宋体"/>
          <w:b/>
          <w:bCs/>
          <w:sz w:val="32"/>
          <w:szCs w:val="32"/>
        </w:rPr>
      </w:pPr>
      <w:r>
        <w:rPr>
          <w:rFonts w:hint="eastAsia" w:ascii="宋体" w:hAnsi="宋体" w:cs="宋体"/>
          <w:b/>
          <w:bCs/>
          <w:sz w:val="32"/>
          <w:szCs w:val="32"/>
        </w:rPr>
        <w:t>评分对应表</w:t>
      </w:r>
    </w:p>
    <w:p>
      <w:pPr>
        <w:snapToGrid w:val="0"/>
        <w:spacing w:before="50"/>
        <w:jc w:val="center"/>
        <w:rPr>
          <w:rFonts w:ascii="宋体"/>
          <w:b/>
          <w:bCs/>
          <w:sz w:val="32"/>
          <w:szCs w:val="32"/>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6"/>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r>
              <w:rPr>
                <w:rFonts w:hint="eastAsia" w:ascii="宋体" w:hAnsi="宋体" w:cs="宋体"/>
                <w:sz w:val="24"/>
                <w:szCs w:val="24"/>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对应评分办法及评分标准</w:t>
            </w:r>
          </w:p>
          <w:p>
            <w:pPr>
              <w:jc w:val="center"/>
              <w:rPr>
                <w:rFonts w:ascii="宋体"/>
                <w:sz w:val="24"/>
                <w:szCs w:val="24"/>
              </w:rPr>
            </w:pPr>
            <w:r>
              <w:rPr>
                <w:rFonts w:hint="eastAsia" w:ascii="宋体" w:hAnsi="宋体" w:cs="宋体"/>
                <w:sz w:val="24"/>
                <w:szCs w:val="24"/>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bl>
    <w:p>
      <w:pPr>
        <w:spacing w:line="360" w:lineRule="auto"/>
        <w:ind w:firstLine="480" w:firstLineChars="200"/>
        <w:rPr>
          <w:rFonts w:ascii="宋体"/>
          <w:sz w:val="24"/>
          <w:szCs w:val="24"/>
        </w:rPr>
      </w:pPr>
    </w:p>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78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rPr>
          <w:lang w:val="zh-CN"/>
        </w:rPr>
      </w:pPr>
    </w:p>
    <w:p>
      <w:pPr>
        <w:rPr>
          <w:b/>
          <w:bCs/>
          <w:sz w:val="24"/>
          <w:szCs w:val="24"/>
          <w:lang w:val="zh-CN"/>
        </w:rPr>
      </w:pPr>
      <w:r>
        <w:rPr>
          <w:rFonts w:hint="eastAsia" w:cs="宋体"/>
          <w:b/>
          <w:bCs/>
          <w:sz w:val="24"/>
          <w:szCs w:val="24"/>
          <w:lang w:val="zh-CN"/>
        </w:rPr>
        <w:t>附件</w:t>
      </w:r>
      <w:r>
        <w:rPr>
          <w:rFonts w:hint="eastAsia" w:cs="宋体"/>
          <w:b/>
          <w:bCs/>
          <w:sz w:val="24"/>
          <w:szCs w:val="24"/>
        </w:rPr>
        <w:t>七：</w:t>
      </w:r>
    </w:p>
    <w:p>
      <w:pPr>
        <w:spacing w:line="360" w:lineRule="auto"/>
        <w:jc w:val="center"/>
        <w:rPr>
          <w:rFonts w:ascii="宋体"/>
          <w:b/>
          <w:bCs/>
          <w:sz w:val="32"/>
          <w:szCs w:val="32"/>
        </w:rPr>
      </w:pPr>
      <w:r>
        <w:rPr>
          <w:rFonts w:hint="eastAsia" w:ascii="宋体" w:hAnsi="宋体" w:cs="宋体"/>
          <w:b/>
          <w:bCs/>
          <w:sz w:val="32"/>
          <w:szCs w:val="32"/>
        </w:rPr>
        <w:t>供应商商务技术文件中资信分自评表</w:t>
      </w:r>
      <w:bookmarkEnd w:id="99"/>
    </w:p>
    <w:p>
      <w:pPr>
        <w:snapToGrid w:val="0"/>
        <w:spacing w:before="50"/>
        <w:jc w:val="center"/>
        <w:rPr>
          <w:rFonts w:ascii="宋体"/>
          <w:b/>
          <w:bCs/>
          <w:sz w:val="32"/>
          <w:szCs w:val="32"/>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6"/>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hint="eastAsia" w:ascii="宋体" w:hAnsi="宋体" w:cs="宋体"/>
                <w:sz w:val="24"/>
                <w:szCs w:val="24"/>
              </w:rPr>
              <w:t>序号</w:t>
            </w:r>
          </w:p>
        </w:tc>
        <w:tc>
          <w:tcPr>
            <w:tcW w:w="2387" w:type="dxa"/>
            <w:vAlign w:val="center"/>
          </w:tcPr>
          <w:p>
            <w:pPr>
              <w:jc w:val="center"/>
              <w:rPr>
                <w:rFonts w:ascii="宋体"/>
                <w:sz w:val="24"/>
                <w:szCs w:val="24"/>
              </w:rPr>
            </w:pPr>
            <w:r>
              <w:rPr>
                <w:rFonts w:hint="eastAsia" w:ascii="宋体" w:hAnsi="宋体" w:cs="宋体"/>
                <w:sz w:val="24"/>
                <w:szCs w:val="24"/>
              </w:rPr>
              <w:t>资信分内容</w:t>
            </w:r>
          </w:p>
        </w:tc>
        <w:tc>
          <w:tcPr>
            <w:tcW w:w="1462" w:type="dxa"/>
            <w:vAlign w:val="center"/>
          </w:tcPr>
          <w:p>
            <w:pPr>
              <w:jc w:val="center"/>
              <w:rPr>
                <w:rFonts w:ascii="宋体"/>
                <w:sz w:val="24"/>
                <w:szCs w:val="24"/>
              </w:rPr>
            </w:pPr>
            <w:r>
              <w:rPr>
                <w:rFonts w:hint="eastAsia" w:ascii="宋体" w:hAnsi="宋体" w:cs="宋体"/>
                <w:sz w:val="24"/>
                <w:szCs w:val="24"/>
              </w:rPr>
              <w:t>自评得分</w:t>
            </w:r>
          </w:p>
        </w:tc>
        <w:tc>
          <w:tcPr>
            <w:tcW w:w="2415" w:type="dxa"/>
            <w:tcBorders>
              <w:right w:val="single" w:color="auto" w:sz="4" w:space="0"/>
            </w:tcBorders>
            <w:vAlign w:val="center"/>
          </w:tcPr>
          <w:p>
            <w:pPr>
              <w:jc w:val="center"/>
              <w:rPr>
                <w:rFonts w:ascii="宋体"/>
                <w:sz w:val="24"/>
                <w:szCs w:val="24"/>
              </w:rPr>
            </w:pPr>
            <w:r>
              <w:rPr>
                <w:rFonts w:hint="eastAsia" w:ascii="宋体" w:hAnsi="宋体" w:cs="宋体"/>
                <w:sz w:val="24"/>
                <w:szCs w:val="24"/>
              </w:rPr>
              <w:t>响应文件对应资料</w:t>
            </w:r>
          </w:p>
        </w:tc>
        <w:tc>
          <w:tcPr>
            <w:tcW w:w="1746" w:type="dxa"/>
            <w:tcBorders>
              <w:left w:val="single" w:color="auto" w:sz="4" w:space="0"/>
            </w:tcBorders>
            <w:vAlign w:val="center"/>
          </w:tcPr>
          <w:p>
            <w:pPr>
              <w:jc w:val="center"/>
              <w:rPr>
                <w:rFonts w:ascii="宋体"/>
                <w:sz w:val="24"/>
                <w:szCs w:val="24"/>
              </w:rPr>
            </w:pPr>
            <w:r>
              <w:rPr>
                <w:rFonts w:hint="eastAsia" w:ascii="宋体" w:hAnsi="宋体" w:cs="宋体"/>
                <w:sz w:val="24"/>
                <w:szCs w:val="24"/>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1</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2</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3</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4</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5</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6</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7</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8</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hint="eastAsia" w:ascii="宋体" w:hAnsi="宋体" w:cs="宋体"/>
                <w:sz w:val="24"/>
                <w:szCs w:val="24"/>
              </w:rPr>
              <w:t>合计</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bl>
    <w:p>
      <w:pPr>
        <w:spacing w:line="360" w:lineRule="auto"/>
        <w:ind w:firstLine="480" w:firstLineChars="200"/>
        <w:rPr>
          <w:rFonts w:ascii="宋体"/>
          <w:sz w:val="24"/>
          <w:szCs w:val="24"/>
        </w:rPr>
      </w:pPr>
    </w:p>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78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snapToGrid w:val="0"/>
        <w:spacing w:before="50" w:afterLines="50"/>
        <w:jc w:val="left"/>
        <w:rPr>
          <w:rFonts w:ascii="宋体"/>
          <w:b/>
          <w:bCs/>
          <w:sz w:val="24"/>
          <w:szCs w:val="24"/>
          <w:lang w:val="zh-CN"/>
        </w:rPr>
      </w:pPr>
      <w:r>
        <w:rPr>
          <w:rFonts w:ascii="宋体"/>
          <w:b/>
          <w:bCs/>
          <w:sz w:val="30"/>
          <w:szCs w:val="30"/>
        </w:rPr>
        <w:br w:type="page"/>
      </w:r>
      <w:r>
        <w:rPr>
          <w:rFonts w:hint="eastAsia" w:ascii="宋体" w:hAnsi="宋体" w:cs="宋体"/>
          <w:b/>
          <w:bCs/>
          <w:sz w:val="24"/>
          <w:szCs w:val="24"/>
          <w:lang w:val="zh-CN"/>
        </w:rPr>
        <w:t>附件</w:t>
      </w:r>
      <w:r>
        <w:rPr>
          <w:rFonts w:hint="eastAsia" w:ascii="宋体" w:hAnsi="宋体" w:cs="宋体"/>
          <w:b/>
          <w:bCs/>
          <w:sz w:val="24"/>
          <w:szCs w:val="24"/>
        </w:rPr>
        <w:t>八</w:t>
      </w:r>
      <w:r>
        <w:rPr>
          <w:rFonts w:hint="eastAsia" w:ascii="宋体" w:hAnsi="宋体" w:cs="宋体"/>
          <w:b/>
          <w:bCs/>
          <w:sz w:val="24"/>
          <w:szCs w:val="24"/>
          <w:lang w:val="zh-CN"/>
        </w:rPr>
        <w:t>：</w:t>
      </w:r>
    </w:p>
    <w:p>
      <w:pPr>
        <w:spacing w:line="360" w:lineRule="auto"/>
        <w:jc w:val="center"/>
        <w:rPr>
          <w:rFonts w:ascii="宋体"/>
          <w:b/>
          <w:bCs/>
          <w:sz w:val="32"/>
          <w:szCs w:val="32"/>
        </w:rPr>
      </w:pPr>
      <w:r>
        <w:rPr>
          <w:rFonts w:hint="eastAsia" w:ascii="宋体" w:hAnsi="宋体" w:cs="宋体"/>
          <w:b/>
          <w:bCs/>
          <w:sz w:val="32"/>
          <w:szCs w:val="32"/>
        </w:rPr>
        <w:t>投标项目明细清单</w:t>
      </w: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6"/>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sz w:val="24"/>
                <w:szCs w:val="24"/>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sz w:val="24"/>
                <w:szCs w:val="24"/>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bl>
    <w:p>
      <w:pPr>
        <w:snapToGrid w:val="0"/>
        <w:spacing w:beforeLines="50" w:line="360" w:lineRule="auto"/>
        <w:ind w:firstLine="480" w:firstLineChars="200"/>
        <w:rPr>
          <w:rFonts w:ascii="宋体"/>
          <w:sz w:val="24"/>
          <w:szCs w:val="24"/>
        </w:rPr>
      </w:pPr>
      <w:r>
        <w:rPr>
          <w:rFonts w:hint="eastAsia" w:ascii="宋体" w:hAnsi="宋体" w:cs="宋体"/>
          <w:sz w:val="24"/>
          <w:szCs w:val="24"/>
        </w:rPr>
        <w:t>注：在填写时，如上表不适合本项目的实际情况，可在确保投标明细内容完整的情况下，根据上表格式自行划表填写。</w:t>
      </w:r>
    </w:p>
    <w:p>
      <w:pPr>
        <w:pStyle w:val="10"/>
        <w:rPr>
          <w:rFonts w:cs="Times New Roman"/>
        </w:rPr>
      </w:pPr>
    </w:p>
    <w:p>
      <w:pPr>
        <w:pStyle w:val="10"/>
        <w:rPr>
          <w:rFonts w:cs="Times New Roman"/>
        </w:rPr>
      </w:pPr>
    </w:p>
    <w:p>
      <w:pPr>
        <w:pStyle w:val="10"/>
        <w:rPr>
          <w:rFonts w:cs="Times New Roman"/>
        </w:rPr>
      </w:pPr>
    </w:p>
    <w:p>
      <w:pPr>
        <w:snapToGrid w:val="0"/>
        <w:spacing w:beforeLines="50"/>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78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snapToGrid w:val="0"/>
        <w:spacing w:before="50" w:after="50"/>
        <w:rPr>
          <w:rFonts w:ascii="宋体"/>
          <w:spacing w:val="20"/>
          <w:sz w:val="24"/>
          <w:szCs w:val="24"/>
        </w:rPr>
      </w:pPr>
    </w:p>
    <w:p>
      <w:pPr>
        <w:snapToGrid w:val="0"/>
        <w:spacing w:before="50" w:after="50"/>
        <w:rPr>
          <w:rFonts w:ascii="宋体"/>
          <w:spacing w:val="20"/>
          <w:sz w:val="30"/>
          <w:szCs w:val="30"/>
        </w:rPr>
      </w:pPr>
    </w:p>
    <w:p>
      <w:pPr>
        <w:pStyle w:val="10"/>
        <w:ind w:firstLine="686"/>
        <w:rPr>
          <w:rFonts w:cs="Times New Roman"/>
          <w:spacing w:val="20"/>
          <w:sz w:val="30"/>
          <w:szCs w:val="30"/>
        </w:rPr>
      </w:pPr>
    </w:p>
    <w:p>
      <w:pPr>
        <w:pStyle w:val="10"/>
        <w:ind w:firstLine="686"/>
        <w:rPr>
          <w:rFonts w:cs="Times New Roman"/>
          <w:spacing w:val="20"/>
          <w:sz w:val="30"/>
          <w:szCs w:val="30"/>
        </w:rPr>
        <w:sectPr>
          <w:pgSz w:w="11906" w:h="16838"/>
          <w:pgMar w:top="1440" w:right="1800" w:bottom="1440" w:left="1800" w:header="851" w:footer="992" w:gutter="0"/>
          <w:cols w:space="425" w:num="1"/>
          <w:docGrid w:type="lines" w:linePitch="312" w:charSpace="0"/>
        </w:sectPr>
      </w:pPr>
    </w:p>
    <w:p>
      <w:pPr>
        <w:rPr>
          <w:b/>
          <w:bCs/>
          <w:sz w:val="24"/>
          <w:szCs w:val="24"/>
        </w:rPr>
      </w:pPr>
      <w:bookmarkStart w:id="100" w:name="_Toc2823"/>
      <w:r>
        <w:rPr>
          <w:rFonts w:hint="eastAsia" w:cs="宋体"/>
          <w:b/>
          <w:bCs/>
          <w:sz w:val="24"/>
          <w:szCs w:val="24"/>
        </w:rPr>
        <w:t>附件九：</w:t>
      </w:r>
    </w:p>
    <w:p>
      <w:pPr>
        <w:spacing w:line="360" w:lineRule="auto"/>
        <w:jc w:val="center"/>
        <w:rPr>
          <w:rFonts w:ascii="宋体"/>
          <w:b/>
          <w:bCs/>
          <w:sz w:val="32"/>
          <w:szCs w:val="32"/>
        </w:rPr>
      </w:pPr>
      <w:r>
        <w:rPr>
          <w:rFonts w:hint="eastAsia" w:ascii="宋体" w:hAnsi="宋体" w:cs="宋体"/>
          <w:b/>
          <w:bCs/>
          <w:sz w:val="32"/>
          <w:szCs w:val="32"/>
        </w:rPr>
        <w:t>技术响应及建议表</w:t>
      </w:r>
      <w:bookmarkEnd w:id="100"/>
    </w:p>
    <w:p>
      <w:pPr>
        <w:spacing w:line="360" w:lineRule="auto"/>
        <w:ind w:firstLine="480" w:firstLineChars="200"/>
        <w:rPr>
          <w:rFonts w:ascii="宋体"/>
          <w:sz w:val="24"/>
          <w:szCs w:val="24"/>
        </w:rPr>
      </w:pPr>
      <w:r>
        <w:rPr>
          <w:rFonts w:ascii="宋体" w:hAnsi="宋体" w:cs="宋体"/>
          <w:sz w:val="24"/>
          <w:szCs w:val="24"/>
        </w:rPr>
        <w:t xml:space="preserve">             </w:t>
      </w: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6"/>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r>
              <w:rPr>
                <w:rFonts w:hint="eastAsia" w:ascii="宋体" w:hAnsi="宋体" w:cs="宋体"/>
                <w:sz w:val="24"/>
                <w:szCs w:val="24"/>
              </w:rPr>
              <w:t>序号</w:t>
            </w:r>
          </w:p>
        </w:tc>
        <w:tc>
          <w:tcPr>
            <w:tcW w:w="1440" w:type="dxa"/>
            <w:vAlign w:val="center"/>
          </w:tcPr>
          <w:p>
            <w:pPr>
              <w:snapToGrid w:val="0"/>
              <w:spacing w:before="50" w:after="50"/>
              <w:jc w:val="center"/>
              <w:rPr>
                <w:rFonts w:ascii="宋体"/>
                <w:sz w:val="24"/>
                <w:szCs w:val="24"/>
              </w:rPr>
            </w:pPr>
            <w:r>
              <w:rPr>
                <w:rFonts w:hint="eastAsia" w:ascii="宋体" w:hAnsi="宋体" w:cs="宋体"/>
                <w:sz w:val="24"/>
                <w:szCs w:val="24"/>
              </w:rPr>
              <w:t>名称</w:t>
            </w:r>
          </w:p>
        </w:tc>
        <w:tc>
          <w:tcPr>
            <w:tcW w:w="1980" w:type="dxa"/>
            <w:vAlign w:val="center"/>
          </w:tcPr>
          <w:p>
            <w:pPr>
              <w:snapToGrid w:val="0"/>
              <w:spacing w:before="50" w:after="50"/>
              <w:jc w:val="center"/>
              <w:rPr>
                <w:rFonts w:ascii="宋体"/>
                <w:sz w:val="24"/>
                <w:szCs w:val="24"/>
              </w:rPr>
            </w:pPr>
            <w:r>
              <w:rPr>
                <w:rFonts w:hint="eastAsia" w:ascii="宋体" w:hAnsi="宋体" w:cs="宋体"/>
                <w:sz w:val="24"/>
                <w:szCs w:val="24"/>
              </w:rPr>
              <w:t>磋商文件要求</w:t>
            </w:r>
          </w:p>
        </w:tc>
        <w:tc>
          <w:tcPr>
            <w:tcW w:w="2520" w:type="dxa"/>
            <w:vAlign w:val="center"/>
          </w:tcPr>
          <w:p>
            <w:pPr>
              <w:snapToGrid w:val="0"/>
              <w:spacing w:before="50" w:after="50"/>
              <w:jc w:val="center"/>
              <w:rPr>
                <w:rFonts w:ascii="宋体"/>
                <w:sz w:val="24"/>
                <w:szCs w:val="24"/>
              </w:rPr>
            </w:pPr>
            <w:r>
              <w:rPr>
                <w:rFonts w:hint="eastAsia" w:ascii="宋体" w:hAnsi="宋体" w:cs="宋体"/>
                <w:sz w:val="24"/>
                <w:szCs w:val="24"/>
              </w:rPr>
              <w:t>响应文件响应</w:t>
            </w:r>
          </w:p>
        </w:tc>
        <w:tc>
          <w:tcPr>
            <w:tcW w:w="1953" w:type="dxa"/>
            <w:vAlign w:val="center"/>
          </w:tcPr>
          <w:p>
            <w:pPr>
              <w:snapToGrid w:val="0"/>
              <w:spacing w:before="50" w:after="50"/>
              <w:jc w:val="center"/>
              <w:rPr>
                <w:rFonts w:ascii="宋体"/>
                <w:sz w:val="24"/>
                <w:szCs w:val="24"/>
              </w:rPr>
            </w:pPr>
            <w:r>
              <w:rPr>
                <w:rFonts w:hint="eastAsia" w:ascii="宋体" w:hAnsi="宋体" w:cs="宋体"/>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sz w:val="24"/>
                <w:szCs w:val="24"/>
              </w:rPr>
            </w:pPr>
            <w:r>
              <w:rPr>
                <w:rFonts w:hint="eastAsia" w:ascii="宋体" w:hAnsi="宋体" w:cs="宋体"/>
                <w:sz w:val="24"/>
                <w:szCs w:val="24"/>
              </w:rPr>
              <w:t>投标建议</w:t>
            </w:r>
          </w:p>
        </w:tc>
        <w:tc>
          <w:tcPr>
            <w:tcW w:w="6453" w:type="dxa"/>
            <w:gridSpan w:val="3"/>
            <w:vAlign w:val="center"/>
          </w:tcPr>
          <w:p>
            <w:pPr>
              <w:spacing w:line="360" w:lineRule="auto"/>
              <w:jc w:val="center"/>
              <w:rPr>
                <w:rFonts w:ascii="宋体"/>
                <w:sz w:val="24"/>
                <w:szCs w:val="24"/>
              </w:rPr>
            </w:pPr>
          </w:p>
        </w:tc>
      </w:tr>
    </w:tbl>
    <w:p>
      <w:pPr>
        <w:snapToGrid w:val="0"/>
        <w:spacing w:line="360" w:lineRule="auto"/>
        <w:rPr>
          <w:rFonts w:ascii="宋体"/>
          <w:sz w:val="24"/>
          <w:szCs w:val="24"/>
        </w:rPr>
      </w:pPr>
    </w:p>
    <w:p>
      <w:pPr>
        <w:pStyle w:val="12"/>
        <w:spacing w:line="360" w:lineRule="auto"/>
        <w:rPr>
          <w:rFonts w:hAnsi="宋体" w:cs="Times New Roman"/>
          <w:sz w:val="24"/>
          <w:szCs w:val="24"/>
        </w:rPr>
      </w:pPr>
      <w:r>
        <w:rPr>
          <w:rFonts w:hint="eastAsia" w:hAnsi="宋体"/>
          <w:sz w:val="24"/>
          <w:szCs w:val="24"/>
        </w:rPr>
        <w:t>注：名称可基于项目清单根据供应商实际情况调整。</w:t>
      </w:r>
    </w:p>
    <w:p>
      <w:pPr>
        <w:rPr>
          <w:rFonts w:ascii="宋体"/>
          <w:sz w:val="24"/>
          <w:szCs w:val="24"/>
        </w:rPr>
      </w:pPr>
    </w:p>
    <w:p>
      <w:pPr>
        <w:pStyle w:val="10"/>
        <w:rPr>
          <w:rFonts w:cs="Times New Roman"/>
        </w:rPr>
      </w:pPr>
    </w:p>
    <w:p>
      <w:pPr>
        <w:snapToGrid w:val="0"/>
        <w:spacing w:line="360" w:lineRule="auto"/>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78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rPr>
          <w:sz w:val="24"/>
          <w:szCs w:val="24"/>
        </w:rPr>
      </w:pPr>
      <w:r>
        <w:rPr>
          <w:sz w:val="24"/>
          <w:szCs w:val="24"/>
        </w:rPr>
        <w:br w:type="page"/>
      </w:r>
    </w:p>
    <w:p>
      <w:pPr>
        <w:rPr>
          <w:b/>
          <w:bCs/>
          <w:sz w:val="24"/>
          <w:szCs w:val="24"/>
        </w:rPr>
      </w:pPr>
      <w:r>
        <w:rPr>
          <w:rFonts w:hint="eastAsia" w:cs="宋体"/>
          <w:b/>
          <w:bCs/>
          <w:sz w:val="24"/>
          <w:szCs w:val="24"/>
        </w:rPr>
        <w:t>附件十：</w:t>
      </w:r>
    </w:p>
    <w:p>
      <w:pPr>
        <w:spacing w:line="360" w:lineRule="auto"/>
        <w:jc w:val="center"/>
        <w:rPr>
          <w:rFonts w:ascii="宋体"/>
          <w:b/>
          <w:bCs/>
          <w:sz w:val="32"/>
          <w:szCs w:val="32"/>
        </w:rPr>
      </w:pPr>
      <w:r>
        <w:rPr>
          <w:rFonts w:hint="eastAsia" w:ascii="宋体" w:hAnsi="宋体" w:cs="宋体"/>
          <w:b/>
          <w:bCs/>
          <w:sz w:val="32"/>
          <w:szCs w:val="32"/>
        </w:rPr>
        <w:t>商务响应表</w:t>
      </w:r>
    </w:p>
    <w:p>
      <w:pPr>
        <w:snapToGrid w:val="0"/>
        <w:spacing w:before="50"/>
        <w:jc w:val="center"/>
        <w:rPr>
          <w:rFonts w:ascii="宋体"/>
          <w:b/>
          <w:bCs/>
          <w:sz w:val="32"/>
          <w:szCs w:val="32"/>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6"/>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是否</w:t>
            </w:r>
          </w:p>
          <w:p>
            <w:pPr>
              <w:snapToGrid w:val="0"/>
              <w:spacing w:before="50" w:after="50"/>
              <w:jc w:val="center"/>
              <w:rPr>
                <w:rFonts w:ascii="宋体"/>
                <w:sz w:val="24"/>
                <w:szCs w:val="24"/>
              </w:rPr>
            </w:pPr>
            <w:r>
              <w:rPr>
                <w:rFonts w:hint="eastAsia" w:ascii="宋体" w:hAnsi="宋体" w:cs="宋体"/>
                <w:sz w:val="24"/>
                <w:szCs w:val="24"/>
              </w:rPr>
              <w:t>响应</w:t>
            </w: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rPr>
                <w:rFonts w:ascii="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rPr>
                <w:rFonts w:ascii="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bl>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78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spacing w:line="360" w:lineRule="auto"/>
        <w:jc w:val="center"/>
        <w:rPr>
          <w:rFonts w:ascii="宋体"/>
          <w:b/>
          <w:bCs/>
          <w:kern w:val="0"/>
          <w:sz w:val="36"/>
          <w:szCs w:val="36"/>
        </w:rPr>
      </w:pPr>
      <w:r>
        <w:rPr>
          <w:rFonts w:ascii="宋体"/>
          <w:spacing w:val="20"/>
          <w:sz w:val="30"/>
          <w:szCs w:val="30"/>
        </w:rPr>
        <w:br w:type="page"/>
      </w:r>
      <w:r>
        <w:rPr>
          <w:rFonts w:hint="eastAsia" w:ascii="宋体" w:hAnsi="宋体" w:cs="宋体"/>
          <w:b/>
          <w:bCs/>
          <w:kern w:val="0"/>
          <w:sz w:val="36"/>
          <w:szCs w:val="36"/>
        </w:rPr>
        <w:t>报价文件</w:t>
      </w:r>
    </w:p>
    <w:p>
      <w:pPr>
        <w:spacing w:line="360" w:lineRule="auto"/>
        <w:jc w:val="center"/>
        <w:rPr>
          <w:rFonts w:ascii="宋体"/>
          <w:b/>
          <w:bCs/>
          <w:kern w:val="0"/>
          <w:sz w:val="36"/>
          <w:szCs w:val="36"/>
        </w:rPr>
      </w:pPr>
    </w:p>
    <w:p>
      <w:pPr>
        <w:spacing w:line="360" w:lineRule="auto"/>
        <w:jc w:val="center"/>
        <w:rPr>
          <w:rFonts w:ascii="宋体"/>
          <w:b/>
          <w:bCs/>
          <w:kern w:val="0"/>
          <w:sz w:val="36"/>
          <w:szCs w:val="36"/>
        </w:rPr>
      </w:pPr>
      <w:r>
        <w:rPr>
          <w:rFonts w:hint="eastAsia" w:ascii="宋体" w:hAnsi="宋体" w:cs="宋体"/>
          <w:b/>
          <w:bCs/>
          <w:kern w:val="0"/>
          <w:sz w:val="36"/>
          <w:szCs w:val="36"/>
        </w:rPr>
        <w:t>目录</w:t>
      </w:r>
    </w:p>
    <w:p>
      <w:pPr>
        <w:pStyle w:val="10"/>
        <w:ind w:firstLine="723"/>
        <w:rPr>
          <w:rFonts w:cs="Times New Roman"/>
          <w:b/>
          <w:bCs/>
          <w:kern w:val="0"/>
          <w:sz w:val="36"/>
          <w:szCs w:val="36"/>
        </w:rPr>
      </w:pP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）磋商函（格式见附件）；</w:t>
      </w: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）报价一览表（格式见附件）；</w:t>
      </w:r>
    </w:p>
    <w:p>
      <w:pPr>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）磋商报价明细表（格式见附件）。</w:t>
      </w:r>
    </w:p>
    <w:p>
      <w:pPr>
        <w:rPr>
          <w:rFonts w:ascii="宋体"/>
        </w:rPr>
      </w:pPr>
    </w:p>
    <w:p>
      <w:pPr>
        <w:rPr>
          <w:rFonts w:ascii="宋体"/>
        </w:rPr>
      </w:pPr>
      <w:r>
        <w:rPr>
          <w:rFonts w:ascii="宋体"/>
        </w:rPr>
        <w:br w:type="page"/>
      </w:r>
    </w:p>
    <w:p>
      <w:pPr>
        <w:rPr>
          <w:rFonts w:ascii="宋体"/>
          <w:b/>
          <w:bCs/>
          <w:lang w:val="zh-CN"/>
        </w:rPr>
      </w:pPr>
      <w:bookmarkStart w:id="101" w:name="_Toc3094"/>
      <w:r>
        <w:rPr>
          <w:rFonts w:hint="eastAsia" w:cs="宋体"/>
          <w:b/>
          <w:bCs/>
          <w:sz w:val="24"/>
          <w:szCs w:val="24"/>
          <w:lang w:val="zh-CN"/>
        </w:rPr>
        <w:t>附件</w:t>
      </w:r>
      <w:bookmarkStart w:id="102" w:name="_Toc98731770"/>
      <w:bookmarkStart w:id="103" w:name="_Toc130094924"/>
      <w:r>
        <w:rPr>
          <w:rFonts w:hint="eastAsia" w:cs="宋体"/>
          <w:b/>
          <w:bCs/>
          <w:sz w:val="24"/>
          <w:szCs w:val="24"/>
        </w:rPr>
        <w:t>十一：</w:t>
      </w:r>
    </w:p>
    <w:p>
      <w:pPr>
        <w:spacing w:line="360" w:lineRule="auto"/>
        <w:jc w:val="center"/>
        <w:rPr>
          <w:rFonts w:ascii="宋体"/>
          <w:b/>
          <w:bCs/>
          <w:sz w:val="32"/>
          <w:szCs w:val="32"/>
        </w:rPr>
      </w:pPr>
      <w:r>
        <w:rPr>
          <w:rFonts w:hint="eastAsia" w:ascii="宋体" w:hAnsi="宋体" w:cs="宋体"/>
          <w:b/>
          <w:bCs/>
          <w:sz w:val="32"/>
          <w:szCs w:val="32"/>
        </w:rPr>
        <w:t>磋</w:t>
      </w:r>
      <w:r>
        <w:rPr>
          <w:rFonts w:ascii="宋体" w:hAnsi="宋体" w:cs="宋体"/>
          <w:b/>
          <w:bCs/>
          <w:sz w:val="32"/>
          <w:szCs w:val="32"/>
        </w:rPr>
        <w:t xml:space="preserve"> </w:t>
      </w:r>
      <w:r>
        <w:rPr>
          <w:rFonts w:hint="eastAsia" w:ascii="宋体" w:hAnsi="宋体" w:cs="宋体"/>
          <w:b/>
          <w:bCs/>
          <w:sz w:val="32"/>
          <w:szCs w:val="32"/>
        </w:rPr>
        <w:t>商</w:t>
      </w:r>
      <w:r>
        <w:rPr>
          <w:rFonts w:ascii="宋体" w:hAnsi="宋体" w:cs="宋体"/>
          <w:b/>
          <w:bCs/>
          <w:sz w:val="32"/>
          <w:szCs w:val="32"/>
        </w:rPr>
        <w:t xml:space="preserve"> </w:t>
      </w:r>
      <w:r>
        <w:rPr>
          <w:rFonts w:hint="eastAsia" w:ascii="宋体" w:hAnsi="宋体" w:cs="宋体"/>
          <w:b/>
          <w:bCs/>
          <w:sz w:val="32"/>
          <w:szCs w:val="32"/>
        </w:rPr>
        <w:t>函</w:t>
      </w:r>
      <w:bookmarkEnd w:id="101"/>
      <w:bookmarkEnd w:id="102"/>
      <w:bookmarkEnd w:id="103"/>
    </w:p>
    <w:p>
      <w:pPr>
        <w:spacing w:line="360" w:lineRule="auto"/>
        <w:ind w:firstLine="480" w:firstLineChars="200"/>
        <w:rPr>
          <w:rFonts w:ascii="宋体"/>
          <w:sz w:val="24"/>
          <w:szCs w:val="24"/>
          <w:u w:val="single"/>
        </w:rPr>
      </w:pPr>
    </w:p>
    <w:p>
      <w:pPr>
        <w:spacing w:line="360" w:lineRule="auto"/>
        <w:ind w:firstLine="480" w:firstLineChars="200"/>
        <w:rPr>
          <w:rFonts w:ascii="宋体"/>
          <w:sz w:val="24"/>
          <w:szCs w:val="24"/>
        </w:rPr>
      </w:pPr>
      <w:r>
        <w:rPr>
          <w:rFonts w:hint="eastAsia" w:ascii="宋体" w:hAnsi="宋体" w:cs="宋体"/>
          <w:sz w:val="24"/>
          <w:szCs w:val="24"/>
        </w:rPr>
        <w:t>绍兴市上虞区水文站：</w:t>
      </w:r>
    </w:p>
    <w:p>
      <w:pPr>
        <w:spacing w:line="360" w:lineRule="auto"/>
        <w:ind w:firstLine="480" w:firstLineChars="200"/>
        <w:rPr>
          <w:rFonts w:ascii="宋体"/>
          <w:sz w:val="24"/>
          <w:szCs w:val="24"/>
        </w:rPr>
      </w:pPr>
      <w:r>
        <w:rPr>
          <w:rFonts w:hint="eastAsia" w:ascii="宋体" w:hAnsi="宋体" w:cs="宋体"/>
          <w:sz w:val="24"/>
          <w:szCs w:val="24"/>
        </w:rPr>
        <w:t>浙江天平项目咨询有限公司：</w:t>
      </w:r>
    </w:p>
    <w:p>
      <w:pPr>
        <w:spacing w:line="360" w:lineRule="auto"/>
        <w:ind w:firstLine="480"/>
        <w:jc w:val="left"/>
        <w:rPr>
          <w:rFonts w:ascii="宋体"/>
          <w:sz w:val="24"/>
          <w:szCs w:val="24"/>
        </w:rPr>
      </w:pPr>
      <w:r>
        <w:rPr>
          <w:rFonts w:hint="eastAsia" w:ascii="宋体" w:hAnsi="宋体" w:cs="宋体"/>
          <w:sz w:val="24"/>
          <w:szCs w:val="24"/>
        </w:rPr>
        <w:t>我单位认真研究了关于</w:t>
      </w:r>
      <w:r>
        <w:rPr>
          <w:rFonts w:ascii="宋体" w:hAnsi="宋体" w:cs="宋体"/>
          <w:sz w:val="24"/>
          <w:szCs w:val="24"/>
          <w:u w:val="single"/>
        </w:rPr>
        <w:t xml:space="preserve">                      </w:t>
      </w:r>
      <w:r>
        <w:rPr>
          <w:rFonts w:hint="eastAsia" w:ascii="宋体" w:hAnsi="宋体" w:cs="宋体"/>
          <w:sz w:val="24"/>
          <w:szCs w:val="24"/>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sz w:val="24"/>
          <w:szCs w:val="24"/>
        </w:rPr>
      </w:pPr>
      <w:r>
        <w:pict>
          <v:line id="直线 3" o:spid="_x0000_s2050" o:spt="20" style="position:absolute;left:0pt;margin-left:9pt;margin-top:39pt;height:0pt;width:0.05pt;z-index:251659264;mso-width-relative:page;mso-height-relative:page;"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path arrowok="t"/>
            <v:fill focussize="0,0"/>
            <v:stroke/>
            <v:imagedata o:title=""/>
            <o:lock v:ext="edit"/>
          </v:line>
        </w:pict>
      </w:r>
      <w:r>
        <w:rPr>
          <w:rFonts w:ascii="宋体" w:hAnsi="宋体" w:cs="宋体"/>
          <w:sz w:val="24"/>
          <w:szCs w:val="24"/>
        </w:rPr>
        <w:t>1</w:t>
      </w:r>
      <w:r>
        <w:rPr>
          <w:rFonts w:hint="eastAsia" w:ascii="宋体" w:hAnsi="宋体" w:cs="宋体"/>
          <w:sz w:val="24"/>
          <w:szCs w:val="24"/>
        </w:rPr>
        <w:t>、一旦我单位中标，我单位愿意承接报价一览表中所列的技术服务，项目服务期限为：</w:t>
      </w:r>
      <w:r>
        <w:rPr>
          <w:rFonts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、一旦我单位中标，我们保证按照磋商文件的要求，完成服务。</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、如果我单位中标，我方将按照要求严格履行合同义务。</w:t>
      </w:r>
    </w:p>
    <w:p>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、除非另行达成协议并生效，你方的成交通知书和本磋商函将构成约束你我双方的合同。</w:t>
      </w:r>
    </w:p>
    <w:p>
      <w:pPr>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、我单位承诺，一旦发生磋商文件第二部分第</w:t>
      </w:r>
      <w:r>
        <w:rPr>
          <w:rFonts w:ascii="宋体" w:hAnsi="宋体" w:cs="宋体"/>
          <w:sz w:val="24"/>
          <w:szCs w:val="24"/>
        </w:rPr>
        <w:t>11</w:t>
      </w:r>
      <w:r>
        <w:rPr>
          <w:rFonts w:hint="eastAsia" w:ascii="宋体" w:hAnsi="宋体" w:cs="宋体"/>
          <w:sz w:val="24"/>
          <w:szCs w:val="24"/>
        </w:rPr>
        <w:t>条规定情形之一的，承担该条款约定的责任。</w:t>
      </w:r>
    </w:p>
    <w:p>
      <w:pPr>
        <w:pStyle w:val="12"/>
        <w:snapToGrid w:val="0"/>
        <w:spacing w:line="360" w:lineRule="auto"/>
        <w:ind w:left="480"/>
        <w:jc w:val="left"/>
        <w:rPr>
          <w:rFonts w:hAnsi="宋体"/>
          <w:sz w:val="24"/>
          <w:szCs w:val="24"/>
        </w:rPr>
      </w:pPr>
      <w:r>
        <w:rPr>
          <w:rFonts w:hAnsi="宋体"/>
          <w:sz w:val="24"/>
          <w:szCs w:val="24"/>
        </w:rPr>
        <w:t xml:space="preserve"> </w:t>
      </w:r>
    </w:p>
    <w:p>
      <w:pPr>
        <w:spacing w:line="360" w:lineRule="auto"/>
        <w:ind w:firstLine="480" w:firstLineChars="200"/>
        <w:rPr>
          <w:rFonts w:ascii="宋体"/>
          <w:sz w:val="24"/>
          <w:szCs w:val="24"/>
        </w:rPr>
      </w:pPr>
      <w:r>
        <w:rPr>
          <w:rFonts w:hint="eastAsia" w:ascii="宋体" w:hAnsi="宋体" w:cs="宋体"/>
          <w:sz w:val="24"/>
          <w:szCs w:val="24"/>
        </w:rPr>
        <w:t>地址：</w:t>
      </w:r>
      <w:r>
        <w:rPr>
          <w:rFonts w:ascii="宋体" w:hAnsi="宋体" w:cs="宋体"/>
          <w:sz w:val="24"/>
          <w:szCs w:val="24"/>
          <w:u w:val="single"/>
        </w:rPr>
        <w:t xml:space="preserve">                               </w:t>
      </w:r>
      <w:r>
        <w:rPr>
          <w:rFonts w:hint="eastAsia" w:ascii="宋体" w:hAnsi="宋体" w:cs="宋体"/>
          <w:sz w:val="24"/>
          <w:szCs w:val="24"/>
        </w:rPr>
        <w:t>邮编：</w:t>
      </w:r>
      <w:r>
        <w:rPr>
          <w:rFonts w:ascii="宋体" w:hAnsi="宋体" w:cs="宋体"/>
          <w:sz w:val="24"/>
          <w:szCs w:val="24"/>
          <w:u w:val="single"/>
        </w:rPr>
        <w:t xml:space="preserve">                 </w:t>
      </w:r>
    </w:p>
    <w:p>
      <w:pPr>
        <w:spacing w:line="360" w:lineRule="auto"/>
        <w:ind w:firstLine="480" w:firstLineChars="200"/>
        <w:rPr>
          <w:rFonts w:ascii="宋体"/>
          <w:sz w:val="24"/>
          <w:szCs w:val="24"/>
          <w:u w:val="single"/>
        </w:rPr>
      </w:pPr>
      <w:r>
        <w:rPr>
          <w:rFonts w:hint="eastAsia" w:ascii="宋体" w:hAnsi="宋体" w:cs="宋体"/>
          <w:sz w:val="24"/>
          <w:szCs w:val="24"/>
        </w:rPr>
        <w:t>电话：</w:t>
      </w:r>
      <w:r>
        <w:rPr>
          <w:rFonts w:ascii="宋体" w:hAnsi="宋体" w:cs="宋体"/>
          <w:sz w:val="24"/>
          <w:szCs w:val="24"/>
          <w:u w:val="single"/>
        </w:rPr>
        <w:t xml:space="preserve">                               </w:t>
      </w:r>
      <w:r>
        <w:rPr>
          <w:rFonts w:hint="eastAsia" w:ascii="宋体" w:hAnsi="宋体" w:cs="宋体"/>
          <w:sz w:val="24"/>
          <w:szCs w:val="24"/>
        </w:rPr>
        <w:t>传真：</w:t>
      </w:r>
      <w:r>
        <w:rPr>
          <w:rFonts w:ascii="宋体" w:hAnsi="宋体" w:cs="宋体"/>
          <w:sz w:val="24"/>
          <w:szCs w:val="24"/>
          <w:u w:val="single"/>
        </w:rPr>
        <w:t xml:space="preserve">                 </w:t>
      </w:r>
    </w:p>
    <w:p>
      <w:pPr>
        <w:spacing w:line="360" w:lineRule="auto"/>
        <w:ind w:firstLine="480" w:firstLineChars="200"/>
        <w:rPr>
          <w:rFonts w:ascii="宋体"/>
          <w:sz w:val="24"/>
          <w:szCs w:val="24"/>
        </w:rPr>
      </w:pPr>
      <w:r>
        <w:rPr>
          <w:rFonts w:hint="eastAsia" w:ascii="宋体" w:hAnsi="宋体" w:cs="宋体"/>
          <w:sz w:val="24"/>
          <w:szCs w:val="24"/>
        </w:rPr>
        <w:t>供应商代表姓名：</w:t>
      </w:r>
      <w:r>
        <w:rPr>
          <w:rFonts w:ascii="宋体" w:hAnsi="宋体" w:cs="宋体"/>
          <w:sz w:val="24"/>
          <w:szCs w:val="24"/>
          <w:u w:val="single"/>
        </w:rPr>
        <w:t xml:space="preserve">                     </w:t>
      </w:r>
      <w:r>
        <w:rPr>
          <w:rFonts w:hint="eastAsia" w:ascii="宋体" w:hAnsi="宋体" w:cs="宋体"/>
          <w:sz w:val="24"/>
          <w:szCs w:val="24"/>
        </w:rPr>
        <w:t>职务：</w:t>
      </w:r>
      <w:r>
        <w:rPr>
          <w:rFonts w:ascii="宋体" w:hAnsi="宋体" w:cs="宋体"/>
          <w:sz w:val="24"/>
          <w:szCs w:val="24"/>
          <w:u w:val="single"/>
        </w:rPr>
        <w:t xml:space="preserve">                 </w:t>
      </w:r>
    </w:p>
    <w:p>
      <w:pPr>
        <w:spacing w:line="360" w:lineRule="auto"/>
        <w:ind w:firstLine="480" w:firstLineChars="200"/>
        <w:rPr>
          <w:rFonts w:ascii="宋体"/>
          <w:sz w:val="24"/>
          <w:szCs w:val="24"/>
        </w:rPr>
      </w:pPr>
      <w:r>
        <w:rPr>
          <w:rFonts w:hint="eastAsia" w:ascii="宋体" w:hAnsi="宋体" w:cs="宋体"/>
          <w:sz w:val="24"/>
          <w:szCs w:val="24"/>
        </w:rPr>
        <w:t>供应商名称</w:t>
      </w:r>
      <w:r>
        <w:rPr>
          <w:rFonts w:hint="eastAsia" w:ascii="宋体" w:hAnsi="宋体" w:cs="宋体"/>
          <w:sz w:val="24"/>
          <w:szCs w:val="24"/>
          <w:u w:val="single"/>
        </w:rPr>
        <w:t>：</w:t>
      </w:r>
      <w:r>
        <w:rPr>
          <w:rFonts w:ascii="宋体" w:hAnsi="宋体" w:cs="宋体"/>
          <w:sz w:val="24"/>
          <w:szCs w:val="24"/>
          <w:u w:val="single"/>
        </w:rPr>
        <w:t xml:space="preserve">                   </w:t>
      </w:r>
      <w:r>
        <w:rPr>
          <w:rFonts w:hint="eastAsia" w:ascii="宋体" w:hAnsi="宋体" w:cs="宋体"/>
          <w:sz w:val="24"/>
          <w:szCs w:val="24"/>
          <w:u w:val="single"/>
        </w:rPr>
        <w:t>　　　</w:t>
      </w:r>
    </w:p>
    <w:p>
      <w:pPr>
        <w:spacing w:line="360" w:lineRule="auto"/>
        <w:ind w:firstLine="480" w:firstLineChars="200"/>
        <w:rPr>
          <w:rFonts w:ascii="宋体"/>
          <w:sz w:val="24"/>
          <w:szCs w:val="24"/>
        </w:rPr>
      </w:pPr>
      <w:r>
        <w:rPr>
          <w:rFonts w:hint="eastAsia" w:ascii="宋体" w:hAnsi="宋体" w:cs="宋体"/>
          <w:sz w:val="24"/>
          <w:szCs w:val="24"/>
        </w:rPr>
        <w:t>（公章）：</w:t>
      </w:r>
      <w:r>
        <w:rPr>
          <w:rFonts w:ascii="宋体" w:hAnsi="宋体" w:cs="宋体"/>
          <w:sz w:val="24"/>
          <w:szCs w:val="24"/>
        </w:rPr>
        <w:t xml:space="preserve">                   </w:t>
      </w: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78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ind w:firstLine="5280" w:firstLineChars="2200"/>
        <w:rPr>
          <w:rFonts w:ascii="宋体"/>
          <w:sz w:val="24"/>
          <w:szCs w:val="24"/>
        </w:rPr>
      </w:pPr>
    </w:p>
    <w:p>
      <w:pPr>
        <w:rPr>
          <w:sz w:val="24"/>
          <w:szCs w:val="24"/>
          <w:lang w:val="zh-CN"/>
        </w:rPr>
      </w:pPr>
      <w:bookmarkStart w:id="104" w:name="_Toc12011"/>
      <w:r>
        <w:rPr>
          <w:sz w:val="24"/>
          <w:szCs w:val="24"/>
          <w:lang w:val="zh-CN"/>
        </w:rPr>
        <w:br w:type="page"/>
      </w:r>
    </w:p>
    <w:p>
      <w:pPr>
        <w:rPr>
          <w:b/>
          <w:bCs/>
          <w:sz w:val="24"/>
          <w:szCs w:val="24"/>
          <w:lang w:val="zh-CN"/>
        </w:rPr>
      </w:pPr>
      <w:r>
        <w:rPr>
          <w:rFonts w:hint="eastAsia" w:cs="宋体"/>
          <w:b/>
          <w:bCs/>
          <w:sz w:val="24"/>
          <w:szCs w:val="24"/>
          <w:lang w:val="zh-CN"/>
        </w:rPr>
        <w:t>附件</w:t>
      </w:r>
      <w:bookmarkStart w:id="105" w:name="_Toc98731771"/>
      <w:bookmarkStart w:id="106" w:name="_Toc130094925"/>
      <w:r>
        <w:rPr>
          <w:rFonts w:hint="eastAsia" w:cs="宋体"/>
          <w:b/>
          <w:bCs/>
          <w:sz w:val="24"/>
          <w:szCs w:val="24"/>
        </w:rPr>
        <w:t>十二：</w:t>
      </w:r>
    </w:p>
    <w:p>
      <w:pPr>
        <w:spacing w:line="360" w:lineRule="auto"/>
        <w:jc w:val="center"/>
        <w:rPr>
          <w:rFonts w:ascii="宋体"/>
          <w:b/>
          <w:bCs/>
          <w:sz w:val="32"/>
          <w:szCs w:val="32"/>
        </w:rPr>
      </w:pPr>
      <w:r>
        <w:rPr>
          <w:rFonts w:hint="eastAsia" w:ascii="宋体" w:hAnsi="宋体" w:cs="宋体"/>
          <w:b/>
          <w:bCs/>
          <w:sz w:val="32"/>
          <w:szCs w:val="32"/>
        </w:rPr>
        <w:t>报价一览表</w:t>
      </w:r>
      <w:bookmarkEnd w:id="104"/>
      <w:bookmarkEnd w:id="105"/>
      <w:bookmarkEnd w:id="106"/>
    </w:p>
    <w:p>
      <w:pPr>
        <w:pStyle w:val="12"/>
        <w:spacing w:line="360" w:lineRule="auto"/>
        <w:rPr>
          <w:rFonts w:hAnsi="宋体" w:cs="Times New Roman"/>
          <w:sz w:val="24"/>
          <w:szCs w:val="24"/>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r>
        <w:rPr>
          <w:rFonts w:ascii="宋体" w:hAnsi="宋体" w:cs="宋体"/>
          <w:sz w:val="24"/>
          <w:szCs w:val="24"/>
        </w:rPr>
        <w:t xml:space="preserve">               </w:t>
      </w:r>
    </w:p>
    <w:tbl>
      <w:tblPr>
        <w:tblStyle w:val="26"/>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2"/>
              <w:spacing w:line="360" w:lineRule="auto"/>
              <w:jc w:val="center"/>
              <w:rPr>
                <w:rFonts w:hAnsi="宋体" w:cs="Times New Roman"/>
                <w:b/>
                <w:bCs/>
                <w:sz w:val="24"/>
                <w:szCs w:val="24"/>
              </w:rPr>
            </w:pPr>
            <w:r>
              <w:rPr>
                <w:rFonts w:hint="eastAsia" w:hAnsi="宋体"/>
                <w:b/>
                <w:bCs/>
                <w:sz w:val="24"/>
                <w:szCs w:val="24"/>
              </w:rPr>
              <w:t>投标总价</w:t>
            </w:r>
          </w:p>
        </w:tc>
        <w:tc>
          <w:tcPr>
            <w:tcW w:w="6707" w:type="dxa"/>
            <w:vAlign w:val="center"/>
          </w:tcPr>
          <w:p>
            <w:pPr>
              <w:pStyle w:val="12"/>
              <w:spacing w:line="360" w:lineRule="auto"/>
              <w:jc w:val="center"/>
              <w:rPr>
                <w:rFonts w:hAnsi="宋体" w:cs="Times New Roman"/>
                <w:b/>
                <w:bCs/>
                <w:sz w:val="24"/>
                <w:szCs w:val="24"/>
              </w:rPr>
            </w:pPr>
            <w:r>
              <w:rPr>
                <w:rFonts w:hint="eastAsia" w:hAnsi="宋体"/>
                <w:b/>
                <w:bCs/>
                <w:sz w:val="24"/>
                <w:szCs w:val="24"/>
              </w:rPr>
              <w:t>大写：</w:t>
            </w:r>
            <w:r>
              <w:rPr>
                <w:rFonts w:hint="eastAsia" w:hAnsi="宋体"/>
                <w:b/>
                <w:bCs/>
                <w:sz w:val="24"/>
                <w:szCs w:val="24"/>
                <w:u w:val="single"/>
              </w:rPr>
              <w:t>　　　　</w:t>
            </w:r>
            <w:r>
              <w:rPr>
                <w:rFonts w:hAnsi="宋体"/>
                <w:b/>
                <w:bCs/>
                <w:sz w:val="24"/>
                <w:szCs w:val="24"/>
                <w:u w:val="single"/>
              </w:rPr>
              <w:t xml:space="preserve">            </w:t>
            </w:r>
            <w:r>
              <w:rPr>
                <w:rFonts w:hint="eastAsia" w:hAnsi="宋体"/>
                <w:b/>
                <w:bCs/>
                <w:sz w:val="24"/>
                <w:szCs w:val="24"/>
              </w:rPr>
              <w:t>元（小写：</w:t>
            </w:r>
            <w:r>
              <w:rPr>
                <w:rFonts w:hint="eastAsia" w:hAnsi="宋体"/>
                <w:b/>
                <w:bCs/>
                <w:sz w:val="24"/>
                <w:szCs w:val="24"/>
                <w:u w:val="single"/>
              </w:rPr>
              <w:t>　　　　</w:t>
            </w:r>
            <w:r>
              <w:rPr>
                <w:rFonts w:hAnsi="宋体"/>
                <w:b/>
                <w:bCs/>
                <w:sz w:val="24"/>
                <w:szCs w:val="24"/>
                <w:u w:val="single"/>
              </w:rPr>
              <w:t xml:space="preserve"> </w:t>
            </w:r>
            <w:r>
              <w:rPr>
                <w:rFonts w:hint="eastAsia" w:hAnsi="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12"/>
              <w:spacing w:line="360" w:lineRule="auto"/>
              <w:ind w:firstLine="482" w:firstLineChars="200"/>
              <w:rPr>
                <w:rFonts w:hAnsi="宋体" w:cs="Times New Roman"/>
                <w:b/>
                <w:bCs/>
                <w:sz w:val="24"/>
                <w:szCs w:val="24"/>
              </w:rPr>
            </w:pPr>
            <w:r>
              <w:rPr>
                <w:rFonts w:hint="eastAsia" w:hAnsi="宋体" w:cs="Times New Roman"/>
                <w:b/>
                <w:bCs/>
                <w:sz w:val="24"/>
                <w:szCs w:val="24"/>
              </w:rPr>
              <w:t>本次报价应包含项目所需全部服务，不得缺漏，是履行合同的最终价格（服务费、人工费、材料费、设备费、交通费、管理费、税费和采购代理费等一切费用）。</w:t>
            </w:r>
          </w:p>
        </w:tc>
      </w:tr>
    </w:tbl>
    <w:p>
      <w:pPr>
        <w:pStyle w:val="12"/>
        <w:spacing w:line="360" w:lineRule="auto"/>
        <w:rPr>
          <w:rFonts w:hAnsi="宋体" w:cs="Times New Roman"/>
          <w:sz w:val="24"/>
          <w:szCs w:val="24"/>
        </w:rPr>
      </w:pPr>
    </w:p>
    <w:p>
      <w:pPr>
        <w:pStyle w:val="12"/>
        <w:spacing w:line="360" w:lineRule="auto"/>
        <w:rPr>
          <w:rFonts w:hAnsi="宋体" w:cs="Times New Roman"/>
          <w:sz w:val="24"/>
          <w:szCs w:val="24"/>
        </w:rPr>
      </w:pPr>
    </w:p>
    <w:p>
      <w:pPr>
        <w:pStyle w:val="12"/>
        <w:spacing w:line="360" w:lineRule="auto"/>
        <w:rPr>
          <w:rFonts w:hAnsi="宋体" w:cs="Times New Roman"/>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78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spacing w:line="360" w:lineRule="auto"/>
        <w:jc w:val="left"/>
        <w:rPr>
          <w:rFonts w:ascii="宋体"/>
          <w:b/>
          <w:bCs/>
          <w:sz w:val="24"/>
          <w:szCs w:val="24"/>
          <w:lang w:val="zh-CN"/>
        </w:rPr>
      </w:pPr>
      <w:r>
        <w:rPr>
          <w:rFonts w:ascii="宋体"/>
        </w:rPr>
        <w:br w:type="page"/>
      </w:r>
      <w:bookmarkStart w:id="107" w:name="_Toc7196"/>
      <w:r>
        <w:rPr>
          <w:rFonts w:hint="eastAsia" w:ascii="宋体" w:hAnsi="宋体" w:cs="宋体"/>
          <w:b/>
          <w:bCs/>
          <w:sz w:val="24"/>
          <w:szCs w:val="24"/>
          <w:lang w:val="zh-CN"/>
        </w:rPr>
        <w:t>附件十</w:t>
      </w:r>
      <w:r>
        <w:rPr>
          <w:rFonts w:hint="eastAsia" w:hAnsi="宋体" w:cs="宋体"/>
          <w:b/>
          <w:bCs/>
          <w:sz w:val="24"/>
          <w:szCs w:val="24"/>
        </w:rPr>
        <w:t>三</w:t>
      </w:r>
      <w:r>
        <w:rPr>
          <w:rFonts w:hint="eastAsia" w:ascii="宋体" w:hAnsi="宋体" w:cs="宋体"/>
          <w:b/>
          <w:bCs/>
          <w:sz w:val="24"/>
          <w:szCs w:val="24"/>
          <w:lang w:val="zh-CN"/>
        </w:rPr>
        <w:t>：</w:t>
      </w:r>
    </w:p>
    <w:p>
      <w:pPr>
        <w:spacing w:line="360" w:lineRule="auto"/>
        <w:jc w:val="center"/>
        <w:rPr>
          <w:rFonts w:ascii="宋体"/>
          <w:b/>
          <w:bCs/>
          <w:sz w:val="32"/>
          <w:szCs w:val="32"/>
        </w:rPr>
      </w:pPr>
      <w:r>
        <w:rPr>
          <w:rFonts w:hint="eastAsia" w:ascii="宋体" w:hAnsi="宋体" w:cs="宋体"/>
          <w:b/>
          <w:bCs/>
          <w:sz w:val="32"/>
          <w:szCs w:val="32"/>
        </w:rPr>
        <w:t>磋商报价明细表</w:t>
      </w: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hAnsi="宋体" w:cs="宋体"/>
          <w:sz w:val="24"/>
          <w:szCs w:val="24"/>
        </w:rPr>
      </w:pPr>
      <w:r>
        <w:rPr>
          <w:rFonts w:hint="eastAsia" w:ascii="宋体" w:hAnsi="宋体" w:cs="宋体"/>
          <w:sz w:val="24"/>
          <w:szCs w:val="24"/>
        </w:rPr>
        <w:t>采购编号：</w:t>
      </w:r>
      <w:r>
        <w:rPr>
          <w:rFonts w:ascii="宋体" w:hAnsi="宋体" w:cs="宋体"/>
          <w:sz w:val="24"/>
          <w:szCs w:val="24"/>
        </w:rPr>
        <w:t xml:space="preserve">      </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2697"/>
        <w:gridCol w:w="850"/>
        <w:gridCol w:w="851"/>
        <w:gridCol w:w="1275"/>
        <w:gridCol w:w="1276"/>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488" w:type="dxa"/>
            <w:vMerge w:val="restart"/>
            <w:vAlign w:val="center"/>
          </w:tcPr>
          <w:p>
            <w:pPr>
              <w:pStyle w:val="12"/>
              <w:spacing w:line="360" w:lineRule="auto"/>
              <w:jc w:val="center"/>
              <w:rPr>
                <w:rFonts w:hAnsi="宋体"/>
                <w:sz w:val="22"/>
                <w:szCs w:val="22"/>
              </w:rPr>
            </w:pPr>
            <w:r>
              <w:rPr>
                <w:rFonts w:hint="eastAsia" w:hAnsi="宋体"/>
                <w:sz w:val="22"/>
                <w:szCs w:val="22"/>
              </w:rPr>
              <w:t>序</w:t>
            </w:r>
          </w:p>
          <w:p>
            <w:pPr>
              <w:pStyle w:val="12"/>
              <w:spacing w:line="360" w:lineRule="auto"/>
              <w:jc w:val="center"/>
              <w:rPr>
                <w:rFonts w:hAnsi="宋体"/>
                <w:sz w:val="22"/>
                <w:szCs w:val="22"/>
              </w:rPr>
            </w:pPr>
            <w:r>
              <w:rPr>
                <w:rFonts w:hint="eastAsia" w:hAnsi="宋体"/>
                <w:sz w:val="22"/>
                <w:szCs w:val="22"/>
              </w:rPr>
              <w:t>号</w:t>
            </w:r>
          </w:p>
        </w:tc>
        <w:tc>
          <w:tcPr>
            <w:tcW w:w="2697" w:type="dxa"/>
            <w:vMerge w:val="restart"/>
            <w:vAlign w:val="center"/>
          </w:tcPr>
          <w:p>
            <w:pPr>
              <w:widowControl/>
              <w:jc w:val="center"/>
              <w:rPr>
                <w:rFonts w:hAnsi="宋体"/>
                <w:sz w:val="22"/>
                <w:szCs w:val="22"/>
              </w:rPr>
            </w:pPr>
            <w:r>
              <w:rPr>
                <w:rFonts w:hint="eastAsia" w:ascii="宋体" w:hAnsi="宋体" w:cs="宋体"/>
                <w:kern w:val="0"/>
                <w:sz w:val="22"/>
                <w:szCs w:val="22"/>
              </w:rPr>
              <w:t>工作内容</w:t>
            </w:r>
          </w:p>
        </w:tc>
        <w:tc>
          <w:tcPr>
            <w:tcW w:w="850" w:type="dxa"/>
            <w:vMerge w:val="restart"/>
            <w:vAlign w:val="center"/>
          </w:tcPr>
          <w:p>
            <w:pPr>
              <w:widowControl/>
              <w:jc w:val="center"/>
              <w:rPr>
                <w:rFonts w:hAnsi="宋体"/>
                <w:sz w:val="22"/>
                <w:szCs w:val="22"/>
              </w:rPr>
            </w:pPr>
            <w:r>
              <w:rPr>
                <w:rFonts w:hint="eastAsia" w:ascii="宋体" w:hAnsi="宋体" w:cs="宋体"/>
                <w:kern w:val="0"/>
                <w:sz w:val="22"/>
                <w:szCs w:val="22"/>
              </w:rPr>
              <w:t>数量</w:t>
            </w:r>
          </w:p>
        </w:tc>
        <w:tc>
          <w:tcPr>
            <w:tcW w:w="851" w:type="dxa"/>
            <w:vMerge w:val="restart"/>
            <w:vAlign w:val="center"/>
          </w:tcPr>
          <w:p>
            <w:pPr>
              <w:widowControl/>
              <w:jc w:val="center"/>
              <w:rPr>
                <w:rFonts w:hAnsi="宋体"/>
                <w:sz w:val="22"/>
                <w:szCs w:val="22"/>
              </w:rPr>
            </w:pPr>
            <w:r>
              <w:rPr>
                <w:rFonts w:hint="eastAsia" w:hAnsi="宋体"/>
                <w:sz w:val="22"/>
                <w:szCs w:val="22"/>
              </w:rPr>
              <w:t>单位</w:t>
            </w:r>
          </w:p>
        </w:tc>
        <w:tc>
          <w:tcPr>
            <w:tcW w:w="2551" w:type="dxa"/>
            <w:gridSpan w:val="2"/>
            <w:vAlign w:val="center"/>
          </w:tcPr>
          <w:p>
            <w:pPr>
              <w:pStyle w:val="12"/>
              <w:spacing w:line="360" w:lineRule="auto"/>
              <w:jc w:val="center"/>
              <w:rPr>
                <w:rFonts w:hAnsi="宋体"/>
                <w:sz w:val="22"/>
                <w:szCs w:val="22"/>
              </w:rPr>
            </w:pPr>
            <w:r>
              <w:rPr>
                <w:rFonts w:hint="eastAsia" w:hAnsi="宋体"/>
                <w:sz w:val="22"/>
                <w:szCs w:val="22"/>
              </w:rPr>
              <w:t>投标报价（元）</w:t>
            </w:r>
          </w:p>
        </w:tc>
        <w:tc>
          <w:tcPr>
            <w:tcW w:w="1851" w:type="dxa"/>
            <w:vMerge w:val="restart"/>
            <w:vAlign w:val="center"/>
          </w:tcPr>
          <w:p>
            <w:pPr>
              <w:pStyle w:val="12"/>
              <w:spacing w:line="360" w:lineRule="auto"/>
              <w:jc w:val="center"/>
              <w:rPr>
                <w:rFonts w:hAnsi="宋体"/>
                <w:sz w:val="22"/>
                <w:szCs w:val="22"/>
              </w:rPr>
            </w:pPr>
            <w:r>
              <w:rPr>
                <w:rFonts w:hint="eastAsia"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488" w:type="dxa"/>
            <w:vMerge w:val="continue"/>
            <w:vAlign w:val="center"/>
          </w:tcPr>
          <w:p>
            <w:pPr>
              <w:pStyle w:val="12"/>
              <w:spacing w:line="360" w:lineRule="auto"/>
              <w:jc w:val="center"/>
              <w:rPr>
                <w:rFonts w:hAnsi="宋体"/>
                <w:sz w:val="22"/>
                <w:szCs w:val="22"/>
              </w:rPr>
            </w:pPr>
          </w:p>
        </w:tc>
        <w:tc>
          <w:tcPr>
            <w:tcW w:w="2697" w:type="dxa"/>
            <w:vMerge w:val="continue"/>
            <w:vAlign w:val="center"/>
          </w:tcPr>
          <w:p>
            <w:pPr>
              <w:pStyle w:val="12"/>
              <w:spacing w:line="360" w:lineRule="auto"/>
              <w:jc w:val="center"/>
              <w:rPr>
                <w:rFonts w:hAnsi="宋体"/>
                <w:sz w:val="22"/>
                <w:szCs w:val="22"/>
              </w:rPr>
            </w:pPr>
          </w:p>
        </w:tc>
        <w:tc>
          <w:tcPr>
            <w:tcW w:w="850" w:type="dxa"/>
            <w:vMerge w:val="continue"/>
            <w:vAlign w:val="center"/>
          </w:tcPr>
          <w:p>
            <w:pPr>
              <w:pStyle w:val="12"/>
              <w:spacing w:line="360" w:lineRule="auto"/>
              <w:jc w:val="center"/>
              <w:rPr>
                <w:rFonts w:hAnsi="宋体"/>
                <w:sz w:val="22"/>
                <w:szCs w:val="22"/>
              </w:rPr>
            </w:pPr>
          </w:p>
        </w:tc>
        <w:tc>
          <w:tcPr>
            <w:tcW w:w="851" w:type="dxa"/>
            <w:vMerge w:val="continue"/>
            <w:vAlign w:val="center"/>
          </w:tcPr>
          <w:p>
            <w:pPr>
              <w:pStyle w:val="12"/>
              <w:spacing w:line="360" w:lineRule="auto"/>
              <w:jc w:val="center"/>
              <w:rPr>
                <w:rFonts w:hAnsi="宋体"/>
                <w:sz w:val="22"/>
                <w:szCs w:val="22"/>
              </w:rPr>
            </w:pPr>
          </w:p>
        </w:tc>
        <w:tc>
          <w:tcPr>
            <w:tcW w:w="1275" w:type="dxa"/>
            <w:vAlign w:val="center"/>
          </w:tcPr>
          <w:p>
            <w:pPr>
              <w:pStyle w:val="12"/>
              <w:spacing w:line="360" w:lineRule="auto"/>
              <w:jc w:val="center"/>
              <w:rPr>
                <w:rFonts w:hAnsi="宋体"/>
                <w:sz w:val="22"/>
                <w:szCs w:val="22"/>
              </w:rPr>
            </w:pPr>
            <w:r>
              <w:rPr>
                <w:rFonts w:hint="eastAsia" w:hAnsi="宋体"/>
                <w:sz w:val="22"/>
                <w:szCs w:val="22"/>
              </w:rPr>
              <w:t>单价</w:t>
            </w:r>
          </w:p>
        </w:tc>
        <w:tc>
          <w:tcPr>
            <w:tcW w:w="1276" w:type="dxa"/>
            <w:vAlign w:val="center"/>
          </w:tcPr>
          <w:p>
            <w:pPr>
              <w:pStyle w:val="12"/>
              <w:spacing w:line="360" w:lineRule="auto"/>
              <w:jc w:val="center"/>
              <w:rPr>
                <w:rFonts w:hAnsi="宋体"/>
                <w:sz w:val="22"/>
                <w:szCs w:val="22"/>
              </w:rPr>
            </w:pPr>
            <w:r>
              <w:rPr>
                <w:rFonts w:hint="eastAsia" w:hAnsi="宋体"/>
                <w:sz w:val="22"/>
                <w:szCs w:val="22"/>
              </w:rPr>
              <w:t>小计</w:t>
            </w:r>
          </w:p>
        </w:tc>
        <w:tc>
          <w:tcPr>
            <w:tcW w:w="1851" w:type="dxa"/>
            <w:vMerge w:val="continue"/>
            <w:vAlign w:val="center"/>
          </w:tcPr>
          <w:p>
            <w:pPr>
              <w:pStyle w:val="12"/>
              <w:spacing w:line="360" w:lineRule="auto"/>
              <w:jc w:val="center"/>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488" w:type="dxa"/>
            <w:vAlign w:val="center"/>
          </w:tcPr>
          <w:p>
            <w:pPr>
              <w:pStyle w:val="12"/>
              <w:adjustRightInd w:val="0"/>
              <w:snapToGrid w:val="0"/>
              <w:jc w:val="center"/>
              <w:rPr>
                <w:rFonts w:hAnsi="宋体"/>
                <w:sz w:val="24"/>
                <w:szCs w:val="24"/>
              </w:rPr>
            </w:pPr>
            <w:r>
              <w:rPr>
                <w:rFonts w:hint="eastAsia" w:hAnsi="宋体"/>
                <w:sz w:val="24"/>
                <w:szCs w:val="24"/>
              </w:rPr>
              <w:t>1</w:t>
            </w:r>
          </w:p>
        </w:tc>
        <w:tc>
          <w:tcPr>
            <w:tcW w:w="2697" w:type="dxa"/>
            <w:vAlign w:val="center"/>
          </w:tcPr>
          <w:p>
            <w:pPr>
              <w:widowControl/>
              <w:adjustRightInd w:val="0"/>
              <w:snapToGrid w:val="0"/>
              <w:jc w:val="center"/>
              <w:rPr>
                <w:rFonts w:ascii="宋体" w:hAnsi="宋体" w:cs="宋体"/>
                <w:sz w:val="24"/>
                <w:szCs w:val="24"/>
              </w:rPr>
            </w:pPr>
          </w:p>
        </w:tc>
        <w:tc>
          <w:tcPr>
            <w:tcW w:w="850" w:type="dxa"/>
            <w:vAlign w:val="center"/>
          </w:tcPr>
          <w:p>
            <w:pPr>
              <w:widowControl/>
              <w:adjustRightInd w:val="0"/>
              <w:snapToGrid w:val="0"/>
              <w:jc w:val="center"/>
              <w:rPr>
                <w:rFonts w:hAnsi="宋体"/>
                <w:b/>
                <w:bCs/>
                <w:sz w:val="24"/>
                <w:szCs w:val="24"/>
              </w:rPr>
            </w:pPr>
          </w:p>
        </w:tc>
        <w:tc>
          <w:tcPr>
            <w:tcW w:w="851" w:type="dxa"/>
            <w:vAlign w:val="center"/>
          </w:tcPr>
          <w:p>
            <w:pPr>
              <w:widowControl/>
              <w:adjustRightInd w:val="0"/>
              <w:snapToGrid w:val="0"/>
              <w:jc w:val="center"/>
              <w:rPr>
                <w:rFonts w:hAnsi="宋体"/>
                <w:b/>
                <w:bCs/>
                <w:sz w:val="24"/>
                <w:szCs w:val="24"/>
              </w:rPr>
            </w:pPr>
          </w:p>
        </w:tc>
        <w:tc>
          <w:tcPr>
            <w:tcW w:w="1275" w:type="dxa"/>
          </w:tcPr>
          <w:p>
            <w:pPr>
              <w:pStyle w:val="12"/>
              <w:adjustRightInd w:val="0"/>
              <w:snapToGrid w:val="0"/>
              <w:rPr>
                <w:rFonts w:hAnsi="宋体"/>
                <w:sz w:val="24"/>
                <w:szCs w:val="24"/>
              </w:rPr>
            </w:pPr>
          </w:p>
        </w:tc>
        <w:tc>
          <w:tcPr>
            <w:tcW w:w="1276" w:type="dxa"/>
          </w:tcPr>
          <w:p>
            <w:pPr>
              <w:pStyle w:val="12"/>
              <w:adjustRightInd w:val="0"/>
              <w:snapToGrid w:val="0"/>
              <w:rPr>
                <w:rFonts w:hAnsi="宋体"/>
                <w:sz w:val="24"/>
                <w:szCs w:val="24"/>
              </w:rPr>
            </w:pPr>
          </w:p>
        </w:tc>
        <w:tc>
          <w:tcPr>
            <w:tcW w:w="1851" w:type="dxa"/>
          </w:tcPr>
          <w:p>
            <w:pPr>
              <w:pStyle w:val="12"/>
              <w:adjustRightInd w:val="0"/>
              <w:snapToGrid w:val="0"/>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488" w:type="dxa"/>
            <w:vAlign w:val="center"/>
          </w:tcPr>
          <w:p>
            <w:pPr>
              <w:pStyle w:val="12"/>
              <w:adjustRightInd w:val="0"/>
              <w:snapToGrid w:val="0"/>
              <w:jc w:val="center"/>
              <w:rPr>
                <w:rFonts w:hAnsi="宋体"/>
                <w:sz w:val="24"/>
                <w:szCs w:val="24"/>
              </w:rPr>
            </w:pPr>
            <w:r>
              <w:rPr>
                <w:rFonts w:hint="eastAsia" w:hAnsi="宋体"/>
                <w:sz w:val="24"/>
                <w:szCs w:val="24"/>
              </w:rPr>
              <w:t>2</w:t>
            </w:r>
          </w:p>
        </w:tc>
        <w:tc>
          <w:tcPr>
            <w:tcW w:w="2697" w:type="dxa"/>
            <w:vAlign w:val="center"/>
          </w:tcPr>
          <w:p>
            <w:pPr>
              <w:widowControl/>
              <w:adjustRightInd w:val="0"/>
              <w:snapToGrid w:val="0"/>
              <w:jc w:val="center"/>
              <w:rPr>
                <w:rFonts w:ascii="宋体" w:hAnsi="宋体" w:cs="宋体"/>
                <w:sz w:val="24"/>
                <w:szCs w:val="24"/>
              </w:rPr>
            </w:pPr>
          </w:p>
        </w:tc>
        <w:tc>
          <w:tcPr>
            <w:tcW w:w="850" w:type="dxa"/>
            <w:vAlign w:val="center"/>
          </w:tcPr>
          <w:p>
            <w:pPr>
              <w:widowControl/>
              <w:adjustRightInd w:val="0"/>
              <w:snapToGrid w:val="0"/>
              <w:jc w:val="center"/>
              <w:rPr>
                <w:rFonts w:hAnsi="宋体"/>
                <w:b/>
                <w:bCs/>
                <w:sz w:val="24"/>
                <w:szCs w:val="24"/>
              </w:rPr>
            </w:pPr>
          </w:p>
        </w:tc>
        <w:tc>
          <w:tcPr>
            <w:tcW w:w="851" w:type="dxa"/>
            <w:vAlign w:val="center"/>
          </w:tcPr>
          <w:p>
            <w:pPr>
              <w:widowControl/>
              <w:adjustRightInd w:val="0"/>
              <w:snapToGrid w:val="0"/>
              <w:jc w:val="center"/>
              <w:rPr>
                <w:rFonts w:hAnsi="宋体"/>
                <w:b/>
                <w:bCs/>
                <w:sz w:val="24"/>
                <w:szCs w:val="24"/>
              </w:rPr>
            </w:pPr>
          </w:p>
        </w:tc>
        <w:tc>
          <w:tcPr>
            <w:tcW w:w="1275" w:type="dxa"/>
          </w:tcPr>
          <w:p>
            <w:pPr>
              <w:pStyle w:val="12"/>
              <w:adjustRightInd w:val="0"/>
              <w:snapToGrid w:val="0"/>
              <w:rPr>
                <w:rFonts w:hAnsi="宋体"/>
                <w:sz w:val="24"/>
                <w:szCs w:val="24"/>
              </w:rPr>
            </w:pPr>
          </w:p>
        </w:tc>
        <w:tc>
          <w:tcPr>
            <w:tcW w:w="1276" w:type="dxa"/>
          </w:tcPr>
          <w:p>
            <w:pPr>
              <w:pStyle w:val="12"/>
              <w:adjustRightInd w:val="0"/>
              <w:snapToGrid w:val="0"/>
              <w:rPr>
                <w:rFonts w:hAnsi="宋体"/>
                <w:sz w:val="24"/>
                <w:szCs w:val="24"/>
              </w:rPr>
            </w:pPr>
          </w:p>
        </w:tc>
        <w:tc>
          <w:tcPr>
            <w:tcW w:w="1851" w:type="dxa"/>
          </w:tcPr>
          <w:p>
            <w:pPr>
              <w:pStyle w:val="12"/>
              <w:adjustRightInd w:val="0"/>
              <w:snapToGrid w:val="0"/>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488" w:type="dxa"/>
            <w:vAlign w:val="center"/>
          </w:tcPr>
          <w:p>
            <w:pPr>
              <w:pStyle w:val="12"/>
              <w:adjustRightInd w:val="0"/>
              <w:snapToGrid w:val="0"/>
              <w:jc w:val="center"/>
              <w:rPr>
                <w:rFonts w:hAnsi="宋体"/>
                <w:sz w:val="24"/>
                <w:szCs w:val="24"/>
              </w:rPr>
            </w:pPr>
            <w:r>
              <w:rPr>
                <w:rFonts w:hint="eastAsia" w:hAnsi="宋体"/>
                <w:sz w:val="24"/>
                <w:szCs w:val="24"/>
              </w:rPr>
              <w:t>…</w:t>
            </w:r>
          </w:p>
        </w:tc>
        <w:tc>
          <w:tcPr>
            <w:tcW w:w="2697" w:type="dxa"/>
            <w:vAlign w:val="center"/>
          </w:tcPr>
          <w:p>
            <w:pPr>
              <w:widowControl/>
              <w:adjustRightInd w:val="0"/>
              <w:snapToGrid w:val="0"/>
              <w:jc w:val="center"/>
              <w:rPr>
                <w:rFonts w:ascii="宋体" w:hAnsi="宋体" w:cs="宋体"/>
                <w:sz w:val="24"/>
                <w:szCs w:val="24"/>
              </w:rPr>
            </w:pPr>
            <w:r>
              <w:rPr>
                <w:rFonts w:hint="eastAsia" w:ascii="宋体" w:hAnsi="宋体" w:cs="宋体"/>
                <w:sz w:val="24"/>
                <w:szCs w:val="24"/>
              </w:rPr>
              <w:t>……</w:t>
            </w:r>
          </w:p>
        </w:tc>
        <w:tc>
          <w:tcPr>
            <w:tcW w:w="850" w:type="dxa"/>
            <w:vAlign w:val="center"/>
          </w:tcPr>
          <w:p>
            <w:pPr>
              <w:widowControl/>
              <w:adjustRightInd w:val="0"/>
              <w:snapToGrid w:val="0"/>
              <w:jc w:val="center"/>
              <w:rPr>
                <w:rFonts w:hAnsi="宋体"/>
                <w:b/>
                <w:bCs/>
                <w:sz w:val="24"/>
                <w:szCs w:val="24"/>
              </w:rPr>
            </w:pPr>
          </w:p>
        </w:tc>
        <w:tc>
          <w:tcPr>
            <w:tcW w:w="851" w:type="dxa"/>
            <w:vAlign w:val="center"/>
          </w:tcPr>
          <w:p>
            <w:pPr>
              <w:widowControl/>
              <w:adjustRightInd w:val="0"/>
              <w:snapToGrid w:val="0"/>
              <w:jc w:val="center"/>
              <w:rPr>
                <w:rFonts w:hAnsi="宋体"/>
                <w:b/>
                <w:bCs/>
                <w:sz w:val="24"/>
                <w:szCs w:val="24"/>
              </w:rPr>
            </w:pPr>
          </w:p>
        </w:tc>
        <w:tc>
          <w:tcPr>
            <w:tcW w:w="1275" w:type="dxa"/>
          </w:tcPr>
          <w:p>
            <w:pPr>
              <w:pStyle w:val="12"/>
              <w:adjustRightInd w:val="0"/>
              <w:snapToGrid w:val="0"/>
              <w:rPr>
                <w:rFonts w:hAnsi="宋体"/>
                <w:sz w:val="24"/>
                <w:szCs w:val="24"/>
              </w:rPr>
            </w:pPr>
          </w:p>
        </w:tc>
        <w:tc>
          <w:tcPr>
            <w:tcW w:w="1276" w:type="dxa"/>
          </w:tcPr>
          <w:p>
            <w:pPr>
              <w:pStyle w:val="12"/>
              <w:adjustRightInd w:val="0"/>
              <w:snapToGrid w:val="0"/>
              <w:rPr>
                <w:rFonts w:hAnsi="宋体"/>
                <w:sz w:val="24"/>
                <w:szCs w:val="24"/>
              </w:rPr>
            </w:pPr>
          </w:p>
        </w:tc>
        <w:tc>
          <w:tcPr>
            <w:tcW w:w="1851" w:type="dxa"/>
          </w:tcPr>
          <w:p>
            <w:pPr>
              <w:pStyle w:val="12"/>
              <w:adjustRightInd w:val="0"/>
              <w:snapToGrid w:val="0"/>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488" w:type="dxa"/>
            <w:vAlign w:val="center"/>
          </w:tcPr>
          <w:p>
            <w:pPr>
              <w:pStyle w:val="12"/>
              <w:adjustRightInd w:val="0"/>
              <w:snapToGrid w:val="0"/>
              <w:jc w:val="center"/>
              <w:rPr>
                <w:rFonts w:hAnsi="宋体"/>
                <w:sz w:val="24"/>
                <w:szCs w:val="24"/>
              </w:rPr>
            </w:pPr>
          </w:p>
        </w:tc>
        <w:tc>
          <w:tcPr>
            <w:tcW w:w="2697" w:type="dxa"/>
            <w:vAlign w:val="center"/>
          </w:tcPr>
          <w:p>
            <w:pPr>
              <w:widowControl/>
              <w:adjustRightInd w:val="0"/>
              <w:snapToGrid w:val="0"/>
              <w:jc w:val="center"/>
              <w:rPr>
                <w:rFonts w:cs="宋体" w:asciiTheme="minorEastAsia" w:hAnsiTheme="minorEastAsia" w:eastAsiaTheme="minorEastAsia"/>
                <w:sz w:val="24"/>
                <w:szCs w:val="24"/>
              </w:rPr>
            </w:pPr>
          </w:p>
        </w:tc>
        <w:tc>
          <w:tcPr>
            <w:tcW w:w="850" w:type="dxa"/>
            <w:vAlign w:val="center"/>
          </w:tcPr>
          <w:p>
            <w:pPr>
              <w:widowControl/>
              <w:adjustRightInd w:val="0"/>
              <w:snapToGrid w:val="0"/>
              <w:jc w:val="center"/>
              <w:rPr>
                <w:rFonts w:asciiTheme="minorEastAsia" w:hAnsiTheme="minorEastAsia" w:eastAsiaTheme="minorEastAsia"/>
                <w:bCs/>
                <w:sz w:val="24"/>
                <w:szCs w:val="24"/>
              </w:rPr>
            </w:pPr>
          </w:p>
        </w:tc>
        <w:tc>
          <w:tcPr>
            <w:tcW w:w="851" w:type="dxa"/>
            <w:vAlign w:val="center"/>
          </w:tcPr>
          <w:p>
            <w:pPr>
              <w:widowControl/>
              <w:adjustRightInd w:val="0"/>
              <w:snapToGrid w:val="0"/>
              <w:jc w:val="center"/>
              <w:rPr>
                <w:rFonts w:asciiTheme="minorEastAsia" w:hAnsiTheme="minorEastAsia" w:eastAsiaTheme="minorEastAsia"/>
                <w:bCs/>
                <w:sz w:val="24"/>
                <w:szCs w:val="24"/>
              </w:rPr>
            </w:pPr>
          </w:p>
        </w:tc>
        <w:tc>
          <w:tcPr>
            <w:tcW w:w="1275" w:type="dxa"/>
            <w:vAlign w:val="center"/>
          </w:tcPr>
          <w:p>
            <w:pPr>
              <w:pStyle w:val="12"/>
              <w:adjustRightInd w:val="0"/>
              <w:snapToGrid w:val="0"/>
              <w:jc w:val="center"/>
              <w:rPr>
                <w:rFonts w:asciiTheme="minorEastAsia" w:hAnsiTheme="minorEastAsia" w:eastAsiaTheme="minorEastAsia"/>
                <w:sz w:val="24"/>
                <w:szCs w:val="24"/>
              </w:rPr>
            </w:pPr>
          </w:p>
        </w:tc>
        <w:tc>
          <w:tcPr>
            <w:tcW w:w="1276" w:type="dxa"/>
            <w:vAlign w:val="center"/>
          </w:tcPr>
          <w:p>
            <w:pPr>
              <w:pStyle w:val="12"/>
              <w:adjustRightInd w:val="0"/>
              <w:snapToGrid w:val="0"/>
              <w:jc w:val="center"/>
              <w:rPr>
                <w:rFonts w:asciiTheme="minorEastAsia" w:hAnsiTheme="minorEastAsia" w:eastAsiaTheme="minorEastAsia"/>
                <w:sz w:val="24"/>
                <w:szCs w:val="24"/>
              </w:rPr>
            </w:pPr>
          </w:p>
        </w:tc>
        <w:tc>
          <w:tcPr>
            <w:tcW w:w="1851" w:type="dxa"/>
            <w:vAlign w:val="center"/>
          </w:tcPr>
          <w:p>
            <w:pPr>
              <w:pStyle w:val="12"/>
              <w:adjustRightInd w:val="0"/>
              <w:snapToGrid w:val="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3185" w:type="dxa"/>
            <w:gridSpan w:val="2"/>
            <w:vAlign w:val="center"/>
          </w:tcPr>
          <w:p>
            <w:pPr>
              <w:pStyle w:val="12"/>
              <w:spacing w:line="360" w:lineRule="auto"/>
              <w:jc w:val="center"/>
              <w:rPr>
                <w:rFonts w:hAnsi="宋体"/>
                <w:sz w:val="22"/>
                <w:szCs w:val="22"/>
              </w:rPr>
            </w:pPr>
            <w:r>
              <w:rPr>
                <w:rFonts w:hint="eastAsia" w:hAnsi="宋体"/>
                <w:sz w:val="22"/>
                <w:szCs w:val="22"/>
              </w:rPr>
              <w:t>投标总价</w:t>
            </w:r>
          </w:p>
        </w:tc>
        <w:tc>
          <w:tcPr>
            <w:tcW w:w="6103" w:type="dxa"/>
            <w:gridSpan w:val="5"/>
            <w:vAlign w:val="center"/>
          </w:tcPr>
          <w:p>
            <w:pPr>
              <w:pStyle w:val="12"/>
              <w:spacing w:line="360" w:lineRule="auto"/>
              <w:jc w:val="center"/>
              <w:rPr>
                <w:rFonts w:hAnsi="宋体"/>
                <w:sz w:val="22"/>
                <w:szCs w:val="22"/>
              </w:rPr>
            </w:pPr>
            <w:r>
              <w:rPr>
                <w:rFonts w:hint="eastAsia" w:hAnsi="宋体"/>
                <w:sz w:val="22"/>
                <w:szCs w:val="22"/>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9288" w:type="dxa"/>
            <w:gridSpan w:val="7"/>
            <w:vAlign w:val="center"/>
          </w:tcPr>
          <w:p>
            <w:pPr>
              <w:pStyle w:val="12"/>
              <w:spacing w:line="360" w:lineRule="auto"/>
              <w:ind w:firstLine="480" w:firstLineChars="200"/>
              <w:jc w:val="left"/>
              <w:rPr>
                <w:rFonts w:hAnsi="宋体"/>
                <w:sz w:val="22"/>
                <w:szCs w:val="22"/>
              </w:rPr>
            </w:pPr>
            <w:r>
              <w:rPr>
                <w:rFonts w:hint="eastAsia" w:hAnsi="宋体"/>
                <w:sz w:val="24"/>
                <w:szCs w:val="24"/>
              </w:rPr>
              <w:t>本次报价应包含项目所需全部服务，不得缺漏，是履行合同的最终价格（服务费、人工费、材料费、设备费、交通费、管理费、税费和采购代理费等一切费用）。</w:t>
            </w:r>
          </w:p>
        </w:tc>
      </w:tr>
    </w:tbl>
    <w:p>
      <w:pPr>
        <w:pStyle w:val="12"/>
        <w:spacing w:line="360" w:lineRule="auto"/>
        <w:rPr>
          <w:rFonts w:hAnsi="宋体" w:cs="Times New Roman"/>
          <w:b/>
          <w:bCs/>
          <w:sz w:val="24"/>
          <w:szCs w:val="24"/>
        </w:rPr>
      </w:pPr>
      <w:r>
        <w:rPr>
          <w:rFonts w:hint="eastAsia" w:hAnsi="宋体"/>
          <w:b/>
          <w:bCs/>
          <w:sz w:val="24"/>
          <w:szCs w:val="24"/>
        </w:rPr>
        <w:t>注：供应商可根据实际情况自行调整表格。</w:t>
      </w: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r>
        <w:rPr>
          <w:rFonts w:ascii="宋体" w:hAnsi="宋体" w:cs="宋体"/>
          <w:sz w:val="24"/>
          <w:szCs w:val="24"/>
        </w:rPr>
        <w:t xml:space="preserve">                       </w:t>
      </w:r>
    </w:p>
    <w:p>
      <w:pPr>
        <w:spacing w:line="360" w:lineRule="auto"/>
        <w:ind w:left="3780" w:leftChars="1800"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ind w:left="3780" w:leftChars="1800" w:firstLine="480" w:firstLineChars="200"/>
        <w:rPr>
          <w:rFonts w:ascii="宋体" w:hAnsi="宋体" w:cs="宋体"/>
          <w:sz w:val="24"/>
          <w:szCs w:val="24"/>
        </w:rPr>
      </w:pPr>
      <w:r>
        <w:rPr>
          <w:rFonts w:hint="eastAsia" w:ascii="宋体" w:hAnsi="宋体" w:cs="宋体"/>
          <w:sz w:val="24"/>
          <w:szCs w:val="24"/>
        </w:rPr>
        <w:t>供应商全称（公章）：</w:t>
      </w:r>
    </w:p>
    <w:bookmarkEnd w:id="107"/>
    <w:p>
      <w:pPr>
        <w:rPr>
          <w:rFonts w:ascii="宋体"/>
          <w:sz w:val="24"/>
          <w:szCs w:val="24"/>
        </w:rPr>
      </w:pPr>
    </w:p>
    <w:p>
      <w:pPr>
        <w:pStyle w:val="24"/>
        <w:ind w:left="1275" w:firstLine="0" w:firstLineChars="0"/>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imesNewRomanPSMT">
    <w:altName w:val="Times New Roman"/>
    <w:panose1 w:val="00000000000000000000"/>
    <w:charset w:val="00"/>
    <w:family w:val="roman"/>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N8kzXAQAAsA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XRFieMWB3758f3y8/fl1zey&#10;zPL0ARrMug+Yl4Z3fsClme8BLzPrQUWbv8iHYBzFPV/FlUMiIj9ar9brGkMCY7OD+NXj8xAhvZfe&#10;kmwwGnF6RVR++ghpTJ1TcjXn77QxZYLGkZ7Rm9dv6vLgGkFw43KuLLswwWRKY+vZSsN+mHjufXtG&#10;mj3uA6MO158S88Gh3Hl1ZiPOxn42jiHqQ4cdL0t1CG+PCXsrLecKIyxSzQ4OspCeli5vyt9+yXr8&#10;0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CazfJM1wEAALADAAAOAAAAAAAAAAEAIAAA&#10;AB8BAABkcnMvZTJvRG9jLnhtbFBLBQYAAAAABgAGAFkBAABoBQ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26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30"/>
      </w:rPr>
    </w:pPr>
    <w:r>
      <w:pict>
        <v:shape id="_x0000_s3073" o:spid="_x0000_s3073" o:spt="202" type="#_x0000_t202" style="position:absolute;left:0pt;margin-top:0pt;height:21.95pt;width:9.15pt;mso-position-horizontal:center;mso-position-horizontal-relative:margin;mso-wrap-style:none;z-index:251661312;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uNj1nRAAAAAwEAAA8AAAAAAAAAAQAgAAAAIgAAAGRy&#10;cy9kb3ducmV2LnhtbFBLAQIUABQAAAAIAIdO4kArpkT20wEAAKUDAAAOAAAAAAAAAAEAIAAAACAB&#10;AABkcnMvZTJvRG9jLnhtbFBLBQYAAAAABgAGAFkBAABl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47</w:t>
                </w:r>
                <w:r>
                  <w:fldChar w:fldCharType="end"/>
                </w:r>
              </w:p>
            </w:txbxContent>
          </v:textbox>
        </v:shape>
      </w:pict>
    </w:r>
  </w:p>
  <w:p>
    <w:pPr>
      <w:pStyle w:val="15"/>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1">
    <w:nsid w:val="9E7D436F"/>
    <w:multiLevelType w:val="singleLevel"/>
    <w:tmpl w:val="9E7D436F"/>
    <w:lvl w:ilvl="0" w:tentative="0">
      <w:start w:val="1"/>
      <w:numFmt w:val="chineseCounting"/>
      <w:suff w:val="nothing"/>
      <w:lvlText w:val="%1、"/>
      <w:lvlJc w:val="left"/>
      <w:rPr>
        <w:rFonts w:hint="eastAsia"/>
      </w:rPr>
    </w:lvl>
  </w:abstractNum>
  <w:abstractNum w:abstractNumId="2">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3">
    <w:nsid w:val="F4396F3A"/>
    <w:multiLevelType w:val="singleLevel"/>
    <w:tmpl w:val="F4396F3A"/>
    <w:lvl w:ilvl="0" w:tentative="0">
      <w:start w:val="2"/>
      <w:numFmt w:val="chineseCounting"/>
      <w:suff w:val="nothing"/>
      <w:lvlText w:val="%1、"/>
      <w:lvlJc w:val="left"/>
      <w:rPr>
        <w:rFonts w:hint="eastAsia"/>
      </w:rPr>
    </w:lvl>
  </w:abstractNum>
  <w:abstractNum w:abstractNumId="4">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5">
    <w:nsid w:val="12F353C5"/>
    <w:multiLevelType w:val="singleLevel"/>
    <w:tmpl w:val="12F353C5"/>
    <w:lvl w:ilvl="0" w:tentative="0">
      <w:start w:val="1"/>
      <w:numFmt w:val="chineseCounting"/>
      <w:suff w:val="nothing"/>
      <w:lvlText w:val="%1、"/>
      <w:lvlJc w:val="left"/>
      <w:rPr>
        <w:rFonts w:hint="eastAsia"/>
      </w:rPr>
    </w:lvl>
  </w:abstractNum>
  <w:abstractNum w:abstractNumId="6">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7">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8">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9">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0">
    <w:nsid w:val="31213A5A"/>
    <w:multiLevelType w:val="singleLevel"/>
    <w:tmpl w:val="31213A5A"/>
    <w:lvl w:ilvl="0" w:tentative="0">
      <w:start w:val="4"/>
      <w:numFmt w:val="chineseCounting"/>
      <w:suff w:val="nothing"/>
      <w:lvlText w:val="%1、"/>
      <w:lvlJc w:val="left"/>
      <w:rPr>
        <w:rFonts w:hint="eastAsia"/>
      </w:rPr>
    </w:lvl>
  </w:abstractNum>
  <w:abstractNum w:abstractNumId="11">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2">
    <w:nsid w:val="44893A8C"/>
    <w:multiLevelType w:val="singleLevel"/>
    <w:tmpl w:val="44893A8C"/>
    <w:lvl w:ilvl="0" w:tentative="0">
      <w:start w:val="3"/>
      <w:numFmt w:val="chineseCounting"/>
      <w:suff w:val="space"/>
      <w:lvlText w:val="第%1部分"/>
      <w:lvlJc w:val="left"/>
      <w:rPr>
        <w:rFonts w:hint="eastAsia"/>
      </w:rPr>
    </w:lvl>
  </w:abstractNum>
  <w:abstractNum w:abstractNumId="13">
    <w:nsid w:val="464A3F19"/>
    <w:multiLevelType w:val="singleLevel"/>
    <w:tmpl w:val="464A3F19"/>
    <w:lvl w:ilvl="0" w:tentative="0">
      <w:start w:val="1"/>
      <w:numFmt w:val="decimalEnclosedCircleChinese"/>
      <w:suff w:val="nothing"/>
      <w:lvlText w:val="%1　"/>
      <w:lvlJc w:val="left"/>
      <w:pPr>
        <w:ind w:firstLine="1134"/>
      </w:pPr>
      <w:rPr>
        <w:rFonts w:hint="eastAsia"/>
      </w:rPr>
    </w:lvl>
  </w:abstractNum>
  <w:abstractNum w:abstractNumId="14">
    <w:nsid w:val="466C6E1F"/>
    <w:multiLevelType w:val="multilevel"/>
    <w:tmpl w:val="466C6E1F"/>
    <w:lvl w:ilvl="0" w:tentative="0">
      <w:start w:val="1"/>
      <w:numFmt w:val="upperLetter"/>
      <w:pStyle w:val="6"/>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5">
    <w:nsid w:val="474E1A63"/>
    <w:multiLevelType w:val="singleLevel"/>
    <w:tmpl w:val="474E1A63"/>
    <w:lvl w:ilvl="0" w:tentative="0">
      <w:start w:val="1"/>
      <w:numFmt w:val="decimalEnclosedCircleChinese"/>
      <w:suff w:val="nothing"/>
      <w:lvlText w:val="%1　"/>
      <w:lvlJc w:val="left"/>
      <w:pPr>
        <w:ind w:firstLine="1134"/>
      </w:pPr>
      <w:rPr>
        <w:rFonts w:hint="eastAsia"/>
      </w:rPr>
    </w:lvl>
  </w:abstractNum>
  <w:abstractNum w:abstractNumId="16">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17">
    <w:nsid w:val="62705028"/>
    <w:multiLevelType w:val="singleLevel"/>
    <w:tmpl w:val="62705028"/>
    <w:lvl w:ilvl="0" w:tentative="0">
      <w:start w:val="1"/>
      <w:numFmt w:val="decimalEnclosedCircleChinese"/>
      <w:suff w:val="nothing"/>
      <w:lvlText w:val="%1　"/>
      <w:lvlJc w:val="left"/>
      <w:pPr>
        <w:ind w:firstLine="397"/>
      </w:pPr>
      <w:rPr>
        <w:rFonts w:hint="eastAsia"/>
        <w:b w:val="0"/>
      </w:rPr>
    </w:lvl>
  </w:abstractNum>
  <w:abstractNum w:abstractNumId="18">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14"/>
  </w:num>
  <w:num w:numId="2">
    <w:abstractNumId w:val="4"/>
  </w:num>
  <w:num w:numId="3">
    <w:abstractNumId w:val="16"/>
  </w:num>
  <w:num w:numId="4">
    <w:abstractNumId w:val="7"/>
  </w:num>
  <w:num w:numId="5">
    <w:abstractNumId w:val="18"/>
  </w:num>
  <w:num w:numId="6">
    <w:abstractNumId w:val="8"/>
  </w:num>
  <w:num w:numId="7">
    <w:abstractNumId w:val="17"/>
  </w:num>
  <w:num w:numId="8">
    <w:abstractNumId w:val="5"/>
  </w:num>
  <w:num w:numId="9">
    <w:abstractNumId w:val="6"/>
  </w:num>
  <w:num w:numId="10">
    <w:abstractNumId w:val="15"/>
  </w:num>
  <w:num w:numId="11">
    <w:abstractNumId w:val="11"/>
  </w:num>
  <w:num w:numId="12">
    <w:abstractNumId w:val="2"/>
  </w:num>
  <w:num w:numId="13">
    <w:abstractNumId w:val="0"/>
  </w:num>
  <w:num w:numId="14">
    <w:abstractNumId w:val="9"/>
  </w:num>
  <w:num w:numId="15">
    <w:abstractNumId w:val="12"/>
  </w:num>
  <w:num w:numId="16">
    <w:abstractNumId w:val="1"/>
  </w:num>
  <w:num w:numId="17">
    <w:abstractNumId w:val="1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cyZDcyYzlmNWRkZjNiNTNmZDVkMzYyOWNjYTEyMTgifQ=="/>
  </w:docVars>
  <w:rsids>
    <w:rsidRoot w:val="5AA412FE"/>
    <w:rsid w:val="000016F3"/>
    <w:rsid w:val="000023F9"/>
    <w:rsid w:val="00003EF7"/>
    <w:rsid w:val="00005F8C"/>
    <w:rsid w:val="000122B4"/>
    <w:rsid w:val="00020034"/>
    <w:rsid w:val="000251B7"/>
    <w:rsid w:val="000261B5"/>
    <w:rsid w:val="00026527"/>
    <w:rsid w:val="00027C5B"/>
    <w:rsid w:val="00043EEC"/>
    <w:rsid w:val="00046957"/>
    <w:rsid w:val="0005045A"/>
    <w:rsid w:val="00077325"/>
    <w:rsid w:val="00084F39"/>
    <w:rsid w:val="00085ECB"/>
    <w:rsid w:val="00097873"/>
    <w:rsid w:val="000B3BC7"/>
    <w:rsid w:val="000C287F"/>
    <w:rsid w:val="000D30BB"/>
    <w:rsid w:val="000F06EE"/>
    <w:rsid w:val="001039CA"/>
    <w:rsid w:val="00112242"/>
    <w:rsid w:val="001136DC"/>
    <w:rsid w:val="0012684B"/>
    <w:rsid w:val="00130667"/>
    <w:rsid w:val="001339E2"/>
    <w:rsid w:val="00136689"/>
    <w:rsid w:val="00143E92"/>
    <w:rsid w:val="0014614F"/>
    <w:rsid w:val="001521A7"/>
    <w:rsid w:val="00161E6F"/>
    <w:rsid w:val="00170927"/>
    <w:rsid w:val="0017152E"/>
    <w:rsid w:val="001802BB"/>
    <w:rsid w:val="001C7972"/>
    <w:rsid w:val="00216602"/>
    <w:rsid w:val="00217AED"/>
    <w:rsid w:val="00221416"/>
    <w:rsid w:val="00223E24"/>
    <w:rsid w:val="00234866"/>
    <w:rsid w:val="00234D57"/>
    <w:rsid w:val="00237E93"/>
    <w:rsid w:val="00255FD2"/>
    <w:rsid w:val="00264C08"/>
    <w:rsid w:val="0027178A"/>
    <w:rsid w:val="00273F1A"/>
    <w:rsid w:val="0027526D"/>
    <w:rsid w:val="00283D31"/>
    <w:rsid w:val="00284949"/>
    <w:rsid w:val="00297FF4"/>
    <w:rsid w:val="002B6BC2"/>
    <w:rsid w:val="002C2BD9"/>
    <w:rsid w:val="002C487B"/>
    <w:rsid w:val="002F6EC0"/>
    <w:rsid w:val="0030570F"/>
    <w:rsid w:val="003112DC"/>
    <w:rsid w:val="0031138A"/>
    <w:rsid w:val="00333B55"/>
    <w:rsid w:val="00344F32"/>
    <w:rsid w:val="003470DA"/>
    <w:rsid w:val="00350413"/>
    <w:rsid w:val="003914B1"/>
    <w:rsid w:val="00392B4C"/>
    <w:rsid w:val="00393C1C"/>
    <w:rsid w:val="00395281"/>
    <w:rsid w:val="003A0D36"/>
    <w:rsid w:val="003A2883"/>
    <w:rsid w:val="003A7AF5"/>
    <w:rsid w:val="003D07BA"/>
    <w:rsid w:val="003D61CF"/>
    <w:rsid w:val="003E1737"/>
    <w:rsid w:val="0040061B"/>
    <w:rsid w:val="0040227D"/>
    <w:rsid w:val="00402FF9"/>
    <w:rsid w:val="004047AC"/>
    <w:rsid w:val="004069EB"/>
    <w:rsid w:val="004113C5"/>
    <w:rsid w:val="004277E5"/>
    <w:rsid w:val="0043140B"/>
    <w:rsid w:val="00434E53"/>
    <w:rsid w:val="00435513"/>
    <w:rsid w:val="00436D5D"/>
    <w:rsid w:val="00463C96"/>
    <w:rsid w:val="004751A4"/>
    <w:rsid w:val="00476057"/>
    <w:rsid w:val="0048104F"/>
    <w:rsid w:val="00485852"/>
    <w:rsid w:val="00486150"/>
    <w:rsid w:val="00486E14"/>
    <w:rsid w:val="00497B50"/>
    <w:rsid w:val="004A6E49"/>
    <w:rsid w:val="004A7DA8"/>
    <w:rsid w:val="004C1CB2"/>
    <w:rsid w:val="004D0107"/>
    <w:rsid w:val="004E0A8C"/>
    <w:rsid w:val="004E63AF"/>
    <w:rsid w:val="004E7015"/>
    <w:rsid w:val="004E7DB7"/>
    <w:rsid w:val="0050158C"/>
    <w:rsid w:val="00542925"/>
    <w:rsid w:val="005456AD"/>
    <w:rsid w:val="00550AE1"/>
    <w:rsid w:val="005521E2"/>
    <w:rsid w:val="005534F5"/>
    <w:rsid w:val="005617C4"/>
    <w:rsid w:val="005747A4"/>
    <w:rsid w:val="0057775B"/>
    <w:rsid w:val="005864B8"/>
    <w:rsid w:val="00587ABD"/>
    <w:rsid w:val="005A55BA"/>
    <w:rsid w:val="005C53B6"/>
    <w:rsid w:val="005E7D5A"/>
    <w:rsid w:val="005F4C64"/>
    <w:rsid w:val="00603A33"/>
    <w:rsid w:val="0060407F"/>
    <w:rsid w:val="00605DB4"/>
    <w:rsid w:val="00624CA0"/>
    <w:rsid w:val="00635541"/>
    <w:rsid w:val="006545B6"/>
    <w:rsid w:val="006803A0"/>
    <w:rsid w:val="006A30F9"/>
    <w:rsid w:val="006B56AA"/>
    <w:rsid w:val="006C5FE2"/>
    <w:rsid w:val="006C61FE"/>
    <w:rsid w:val="006C791C"/>
    <w:rsid w:val="006D4031"/>
    <w:rsid w:val="006D7EAD"/>
    <w:rsid w:val="006E3901"/>
    <w:rsid w:val="006E4D94"/>
    <w:rsid w:val="006E5F17"/>
    <w:rsid w:val="006E7DD6"/>
    <w:rsid w:val="00706C04"/>
    <w:rsid w:val="00717FBF"/>
    <w:rsid w:val="007205C1"/>
    <w:rsid w:val="00720D38"/>
    <w:rsid w:val="00726B0B"/>
    <w:rsid w:val="00741B88"/>
    <w:rsid w:val="0074647B"/>
    <w:rsid w:val="00761CC5"/>
    <w:rsid w:val="007675AE"/>
    <w:rsid w:val="00780270"/>
    <w:rsid w:val="00783554"/>
    <w:rsid w:val="00785283"/>
    <w:rsid w:val="007B7BFE"/>
    <w:rsid w:val="007C1988"/>
    <w:rsid w:val="007C36F2"/>
    <w:rsid w:val="007D1674"/>
    <w:rsid w:val="007F23B1"/>
    <w:rsid w:val="007F6163"/>
    <w:rsid w:val="008024F7"/>
    <w:rsid w:val="00804A32"/>
    <w:rsid w:val="00806ABC"/>
    <w:rsid w:val="00816086"/>
    <w:rsid w:val="0082007F"/>
    <w:rsid w:val="00821725"/>
    <w:rsid w:val="0083189B"/>
    <w:rsid w:val="0083513B"/>
    <w:rsid w:val="008379A7"/>
    <w:rsid w:val="00846EE7"/>
    <w:rsid w:val="0085007C"/>
    <w:rsid w:val="008651FF"/>
    <w:rsid w:val="008A2209"/>
    <w:rsid w:val="008B2FE6"/>
    <w:rsid w:val="008C2439"/>
    <w:rsid w:val="008D1287"/>
    <w:rsid w:val="008D3F30"/>
    <w:rsid w:val="008D53B1"/>
    <w:rsid w:val="008E0C8B"/>
    <w:rsid w:val="008E2260"/>
    <w:rsid w:val="008E3963"/>
    <w:rsid w:val="00913BA9"/>
    <w:rsid w:val="00913DF5"/>
    <w:rsid w:val="0092078D"/>
    <w:rsid w:val="009210D0"/>
    <w:rsid w:val="00922646"/>
    <w:rsid w:val="009241BF"/>
    <w:rsid w:val="00935898"/>
    <w:rsid w:val="009362EC"/>
    <w:rsid w:val="00945D04"/>
    <w:rsid w:val="00965CEC"/>
    <w:rsid w:val="00967EFC"/>
    <w:rsid w:val="00976123"/>
    <w:rsid w:val="009926BC"/>
    <w:rsid w:val="00992B51"/>
    <w:rsid w:val="009933ED"/>
    <w:rsid w:val="009A687F"/>
    <w:rsid w:val="009B0963"/>
    <w:rsid w:val="009B5145"/>
    <w:rsid w:val="009B698E"/>
    <w:rsid w:val="009C14AC"/>
    <w:rsid w:val="00A06FE3"/>
    <w:rsid w:val="00A1115C"/>
    <w:rsid w:val="00A153EB"/>
    <w:rsid w:val="00A503D7"/>
    <w:rsid w:val="00A5469A"/>
    <w:rsid w:val="00A60C7C"/>
    <w:rsid w:val="00A617D8"/>
    <w:rsid w:val="00A631A4"/>
    <w:rsid w:val="00A832EF"/>
    <w:rsid w:val="00AA33DC"/>
    <w:rsid w:val="00AC176A"/>
    <w:rsid w:val="00AC415C"/>
    <w:rsid w:val="00AC51A3"/>
    <w:rsid w:val="00AE721D"/>
    <w:rsid w:val="00AF0608"/>
    <w:rsid w:val="00AF40FC"/>
    <w:rsid w:val="00AF7CF9"/>
    <w:rsid w:val="00B007B7"/>
    <w:rsid w:val="00B043F4"/>
    <w:rsid w:val="00B1386B"/>
    <w:rsid w:val="00B1531C"/>
    <w:rsid w:val="00B2037D"/>
    <w:rsid w:val="00B26DD6"/>
    <w:rsid w:val="00B3349F"/>
    <w:rsid w:val="00B34795"/>
    <w:rsid w:val="00B35AC9"/>
    <w:rsid w:val="00B36111"/>
    <w:rsid w:val="00B45AAD"/>
    <w:rsid w:val="00B47103"/>
    <w:rsid w:val="00B574D4"/>
    <w:rsid w:val="00B651EF"/>
    <w:rsid w:val="00B70202"/>
    <w:rsid w:val="00B70E65"/>
    <w:rsid w:val="00B7632C"/>
    <w:rsid w:val="00BA7564"/>
    <w:rsid w:val="00BB3E9D"/>
    <w:rsid w:val="00BB44FE"/>
    <w:rsid w:val="00BC25F6"/>
    <w:rsid w:val="00BC554A"/>
    <w:rsid w:val="00BE0463"/>
    <w:rsid w:val="00C03AE4"/>
    <w:rsid w:val="00C134F0"/>
    <w:rsid w:val="00C144DF"/>
    <w:rsid w:val="00C15659"/>
    <w:rsid w:val="00C23AEF"/>
    <w:rsid w:val="00C25B9E"/>
    <w:rsid w:val="00C32FC8"/>
    <w:rsid w:val="00C4588E"/>
    <w:rsid w:val="00C55328"/>
    <w:rsid w:val="00C64BA7"/>
    <w:rsid w:val="00C70180"/>
    <w:rsid w:val="00C755F3"/>
    <w:rsid w:val="00C93598"/>
    <w:rsid w:val="00C94384"/>
    <w:rsid w:val="00C97640"/>
    <w:rsid w:val="00CA29A3"/>
    <w:rsid w:val="00CA75C3"/>
    <w:rsid w:val="00CB58F4"/>
    <w:rsid w:val="00CB75F1"/>
    <w:rsid w:val="00CC3A61"/>
    <w:rsid w:val="00CD1E65"/>
    <w:rsid w:val="00CD31BD"/>
    <w:rsid w:val="00CE2482"/>
    <w:rsid w:val="00CF0DEE"/>
    <w:rsid w:val="00CF226E"/>
    <w:rsid w:val="00CF4637"/>
    <w:rsid w:val="00D06D14"/>
    <w:rsid w:val="00D165B8"/>
    <w:rsid w:val="00D208F6"/>
    <w:rsid w:val="00D33839"/>
    <w:rsid w:val="00D40761"/>
    <w:rsid w:val="00D458EC"/>
    <w:rsid w:val="00D46536"/>
    <w:rsid w:val="00D5715C"/>
    <w:rsid w:val="00D64C89"/>
    <w:rsid w:val="00D73BB8"/>
    <w:rsid w:val="00D74F5A"/>
    <w:rsid w:val="00D84F46"/>
    <w:rsid w:val="00DB44DD"/>
    <w:rsid w:val="00DB66E9"/>
    <w:rsid w:val="00DD3B00"/>
    <w:rsid w:val="00DE2BDC"/>
    <w:rsid w:val="00DE7CF8"/>
    <w:rsid w:val="00E07553"/>
    <w:rsid w:val="00E109DA"/>
    <w:rsid w:val="00E25CDF"/>
    <w:rsid w:val="00E30080"/>
    <w:rsid w:val="00E32CB2"/>
    <w:rsid w:val="00E3340C"/>
    <w:rsid w:val="00E40460"/>
    <w:rsid w:val="00E43F5F"/>
    <w:rsid w:val="00E521A9"/>
    <w:rsid w:val="00E53562"/>
    <w:rsid w:val="00E61D03"/>
    <w:rsid w:val="00E666D2"/>
    <w:rsid w:val="00E73EFD"/>
    <w:rsid w:val="00ED3097"/>
    <w:rsid w:val="00ED5A5F"/>
    <w:rsid w:val="00F23F6D"/>
    <w:rsid w:val="00F34ECC"/>
    <w:rsid w:val="00F46C89"/>
    <w:rsid w:val="00F47432"/>
    <w:rsid w:val="00F56753"/>
    <w:rsid w:val="00F66202"/>
    <w:rsid w:val="00F673E5"/>
    <w:rsid w:val="00F83A9B"/>
    <w:rsid w:val="00F83E04"/>
    <w:rsid w:val="00F84387"/>
    <w:rsid w:val="00FA6A6D"/>
    <w:rsid w:val="00FB4173"/>
    <w:rsid w:val="00FB7059"/>
    <w:rsid w:val="00FD093B"/>
    <w:rsid w:val="00FD3C5B"/>
    <w:rsid w:val="00FD77B5"/>
    <w:rsid w:val="0149271B"/>
    <w:rsid w:val="02710CE9"/>
    <w:rsid w:val="02D80132"/>
    <w:rsid w:val="02FB0AA9"/>
    <w:rsid w:val="02FB1EF4"/>
    <w:rsid w:val="03C433F6"/>
    <w:rsid w:val="03DB7A13"/>
    <w:rsid w:val="044134E4"/>
    <w:rsid w:val="04BD4CC6"/>
    <w:rsid w:val="04F76A9A"/>
    <w:rsid w:val="06082700"/>
    <w:rsid w:val="0622307D"/>
    <w:rsid w:val="07794977"/>
    <w:rsid w:val="08320F16"/>
    <w:rsid w:val="098526A6"/>
    <w:rsid w:val="09A27D61"/>
    <w:rsid w:val="0A7A442C"/>
    <w:rsid w:val="0D14412A"/>
    <w:rsid w:val="0D295948"/>
    <w:rsid w:val="0E2D1637"/>
    <w:rsid w:val="0F9E5390"/>
    <w:rsid w:val="104145F9"/>
    <w:rsid w:val="10B64C1C"/>
    <w:rsid w:val="10BA6CED"/>
    <w:rsid w:val="113C27FB"/>
    <w:rsid w:val="117C5108"/>
    <w:rsid w:val="11AF1066"/>
    <w:rsid w:val="11CF6577"/>
    <w:rsid w:val="129F37E3"/>
    <w:rsid w:val="12E30368"/>
    <w:rsid w:val="12FC45DD"/>
    <w:rsid w:val="13495BED"/>
    <w:rsid w:val="14D56FC3"/>
    <w:rsid w:val="14FB0C12"/>
    <w:rsid w:val="155D552F"/>
    <w:rsid w:val="15703332"/>
    <w:rsid w:val="157D7686"/>
    <w:rsid w:val="15830AE2"/>
    <w:rsid w:val="15A07E8D"/>
    <w:rsid w:val="15BC6282"/>
    <w:rsid w:val="1648774C"/>
    <w:rsid w:val="16EB43B2"/>
    <w:rsid w:val="188C1F57"/>
    <w:rsid w:val="19061AA7"/>
    <w:rsid w:val="1A6D3E6A"/>
    <w:rsid w:val="1B155261"/>
    <w:rsid w:val="1B4A7538"/>
    <w:rsid w:val="1BDB27A5"/>
    <w:rsid w:val="1CC874BD"/>
    <w:rsid w:val="1CFF0A9F"/>
    <w:rsid w:val="1DC74A1D"/>
    <w:rsid w:val="1E157011"/>
    <w:rsid w:val="1E8C459E"/>
    <w:rsid w:val="1E934307"/>
    <w:rsid w:val="1EDA1EFB"/>
    <w:rsid w:val="1F2B0346"/>
    <w:rsid w:val="1F431821"/>
    <w:rsid w:val="1F890C4B"/>
    <w:rsid w:val="1FDA3069"/>
    <w:rsid w:val="205B73C3"/>
    <w:rsid w:val="20D34487"/>
    <w:rsid w:val="20EB4820"/>
    <w:rsid w:val="215A3622"/>
    <w:rsid w:val="219416B8"/>
    <w:rsid w:val="21FF3D3B"/>
    <w:rsid w:val="2231339B"/>
    <w:rsid w:val="22514430"/>
    <w:rsid w:val="22D7095E"/>
    <w:rsid w:val="234B0952"/>
    <w:rsid w:val="23E23038"/>
    <w:rsid w:val="248E2E3A"/>
    <w:rsid w:val="24F21DAE"/>
    <w:rsid w:val="26451EEA"/>
    <w:rsid w:val="26704F2E"/>
    <w:rsid w:val="27DC3878"/>
    <w:rsid w:val="28C62F56"/>
    <w:rsid w:val="28DA203A"/>
    <w:rsid w:val="28F0407A"/>
    <w:rsid w:val="291A7D32"/>
    <w:rsid w:val="29655706"/>
    <w:rsid w:val="29837904"/>
    <w:rsid w:val="2BF7A349"/>
    <w:rsid w:val="2D346E5C"/>
    <w:rsid w:val="2E664953"/>
    <w:rsid w:val="2E7F722B"/>
    <w:rsid w:val="30FB7A19"/>
    <w:rsid w:val="310261A7"/>
    <w:rsid w:val="318D0B53"/>
    <w:rsid w:val="32A75185"/>
    <w:rsid w:val="33340B4D"/>
    <w:rsid w:val="335F41BA"/>
    <w:rsid w:val="33BA34B0"/>
    <w:rsid w:val="34367DA9"/>
    <w:rsid w:val="344A4A0F"/>
    <w:rsid w:val="3477488D"/>
    <w:rsid w:val="349413EA"/>
    <w:rsid w:val="34C54BE3"/>
    <w:rsid w:val="367C4935"/>
    <w:rsid w:val="36CE34E8"/>
    <w:rsid w:val="37020770"/>
    <w:rsid w:val="37B838EA"/>
    <w:rsid w:val="3904514B"/>
    <w:rsid w:val="39FC282B"/>
    <w:rsid w:val="3A164E28"/>
    <w:rsid w:val="3B1064BD"/>
    <w:rsid w:val="3B2C33D8"/>
    <w:rsid w:val="3BE04637"/>
    <w:rsid w:val="3CFC3762"/>
    <w:rsid w:val="3D390470"/>
    <w:rsid w:val="3DCE50EF"/>
    <w:rsid w:val="3E1918E3"/>
    <w:rsid w:val="3E3759DF"/>
    <w:rsid w:val="3E98229E"/>
    <w:rsid w:val="3F894898"/>
    <w:rsid w:val="402A574B"/>
    <w:rsid w:val="40E80A95"/>
    <w:rsid w:val="41131941"/>
    <w:rsid w:val="41C50CBF"/>
    <w:rsid w:val="42234900"/>
    <w:rsid w:val="42310D45"/>
    <w:rsid w:val="42914373"/>
    <w:rsid w:val="4297507F"/>
    <w:rsid w:val="42A44E8B"/>
    <w:rsid w:val="42B362E7"/>
    <w:rsid w:val="43495ACF"/>
    <w:rsid w:val="436C497E"/>
    <w:rsid w:val="43C139F5"/>
    <w:rsid w:val="43F54CF5"/>
    <w:rsid w:val="43FA21E7"/>
    <w:rsid w:val="4430598D"/>
    <w:rsid w:val="448D6A38"/>
    <w:rsid w:val="46562959"/>
    <w:rsid w:val="467F690A"/>
    <w:rsid w:val="46B85F59"/>
    <w:rsid w:val="46DA1F21"/>
    <w:rsid w:val="46DC3CBA"/>
    <w:rsid w:val="47EF50CB"/>
    <w:rsid w:val="48621071"/>
    <w:rsid w:val="492D7C31"/>
    <w:rsid w:val="498B48F2"/>
    <w:rsid w:val="499D0869"/>
    <w:rsid w:val="49A50688"/>
    <w:rsid w:val="49C134CC"/>
    <w:rsid w:val="4A396CAF"/>
    <w:rsid w:val="4AD245F0"/>
    <w:rsid w:val="4B5C045F"/>
    <w:rsid w:val="4BE44EED"/>
    <w:rsid w:val="4C347AA3"/>
    <w:rsid w:val="4D4B4A9C"/>
    <w:rsid w:val="4D782815"/>
    <w:rsid w:val="4DBE4790"/>
    <w:rsid w:val="4E7D5836"/>
    <w:rsid w:val="4EF549D4"/>
    <w:rsid w:val="4FFC17B4"/>
    <w:rsid w:val="504836AE"/>
    <w:rsid w:val="517843C4"/>
    <w:rsid w:val="51B1557F"/>
    <w:rsid w:val="533A7549"/>
    <w:rsid w:val="5376122A"/>
    <w:rsid w:val="53E87428"/>
    <w:rsid w:val="5447281C"/>
    <w:rsid w:val="54A90D98"/>
    <w:rsid w:val="54F65EBA"/>
    <w:rsid w:val="55D27624"/>
    <w:rsid w:val="567A6E51"/>
    <w:rsid w:val="56F203B4"/>
    <w:rsid w:val="57FC55AA"/>
    <w:rsid w:val="580928E7"/>
    <w:rsid w:val="58551F7D"/>
    <w:rsid w:val="58671E79"/>
    <w:rsid w:val="591B49CD"/>
    <w:rsid w:val="5AA412FE"/>
    <w:rsid w:val="5ABA7A19"/>
    <w:rsid w:val="5AC72F10"/>
    <w:rsid w:val="5B136F0D"/>
    <w:rsid w:val="5B3A76F3"/>
    <w:rsid w:val="5B56778E"/>
    <w:rsid w:val="5B840C5F"/>
    <w:rsid w:val="5BC44F00"/>
    <w:rsid w:val="5C1F7C30"/>
    <w:rsid w:val="5D217374"/>
    <w:rsid w:val="5DE81AA6"/>
    <w:rsid w:val="5DE943DE"/>
    <w:rsid w:val="5E2B51A2"/>
    <w:rsid w:val="5EB62375"/>
    <w:rsid w:val="5EF724E5"/>
    <w:rsid w:val="5F436DCC"/>
    <w:rsid w:val="5F5B667A"/>
    <w:rsid w:val="5F6067D6"/>
    <w:rsid w:val="5F7F4806"/>
    <w:rsid w:val="5FD125EC"/>
    <w:rsid w:val="603D2D4A"/>
    <w:rsid w:val="60D51B08"/>
    <w:rsid w:val="610552EA"/>
    <w:rsid w:val="61162C50"/>
    <w:rsid w:val="617203D0"/>
    <w:rsid w:val="62146987"/>
    <w:rsid w:val="62F7205C"/>
    <w:rsid w:val="634B16C2"/>
    <w:rsid w:val="638717D9"/>
    <w:rsid w:val="63BE5079"/>
    <w:rsid w:val="64981C38"/>
    <w:rsid w:val="64A14715"/>
    <w:rsid w:val="64AE2EEE"/>
    <w:rsid w:val="64F70EA9"/>
    <w:rsid w:val="6559389C"/>
    <w:rsid w:val="666B40A1"/>
    <w:rsid w:val="671B6AB8"/>
    <w:rsid w:val="67996221"/>
    <w:rsid w:val="681E7F53"/>
    <w:rsid w:val="685E4F68"/>
    <w:rsid w:val="68832BF3"/>
    <w:rsid w:val="69610B03"/>
    <w:rsid w:val="69A14E77"/>
    <w:rsid w:val="6A7B2DC6"/>
    <w:rsid w:val="6B335388"/>
    <w:rsid w:val="6B59453E"/>
    <w:rsid w:val="6B88040B"/>
    <w:rsid w:val="6BA77EC0"/>
    <w:rsid w:val="6BE66EA4"/>
    <w:rsid w:val="6D55660F"/>
    <w:rsid w:val="6D5B777B"/>
    <w:rsid w:val="6D88336F"/>
    <w:rsid w:val="6E627A21"/>
    <w:rsid w:val="6E957640"/>
    <w:rsid w:val="6EE33674"/>
    <w:rsid w:val="6EE442D1"/>
    <w:rsid w:val="70B700EE"/>
    <w:rsid w:val="70BA3726"/>
    <w:rsid w:val="717639AE"/>
    <w:rsid w:val="71A16495"/>
    <w:rsid w:val="72EA0AEA"/>
    <w:rsid w:val="73767D80"/>
    <w:rsid w:val="73EB3D22"/>
    <w:rsid w:val="747948CE"/>
    <w:rsid w:val="75126D7A"/>
    <w:rsid w:val="75BA5477"/>
    <w:rsid w:val="75BE27CD"/>
    <w:rsid w:val="76BFAF13"/>
    <w:rsid w:val="77537603"/>
    <w:rsid w:val="775F756A"/>
    <w:rsid w:val="780326FC"/>
    <w:rsid w:val="78937CF7"/>
    <w:rsid w:val="78FBF684"/>
    <w:rsid w:val="79ED6971"/>
    <w:rsid w:val="79FE2D83"/>
    <w:rsid w:val="7A263419"/>
    <w:rsid w:val="7AA33536"/>
    <w:rsid w:val="7AE8472F"/>
    <w:rsid w:val="7AFC465B"/>
    <w:rsid w:val="7B7D91F1"/>
    <w:rsid w:val="7BED0CD8"/>
    <w:rsid w:val="7BF88BF8"/>
    <w:rsid w:val="7BFE1E83"/>
    <w:rsid w:val="7CB7F70C"/>
    <w:rsid w:val="7D673C72"/>
    <w:rsid w:val="7D6FFF83"/>
    <w:rsid w:val="7D71438E"/>
    <w:rsid w:val="7DBF21A5"/>
    <w:rsid w:val="7DE93C59"/>
    <w:rsid w:val="7DFBF8B8"/>
    <w:rsid w:val="7E72183B"/>
    <w:rsid w:val="7F3F6140"/>
    <w:rsid w:val="7FEB6A89"/>
    <w:rsid w:val="B69FF366"/>
    <w:rsid w:val="B7BE0BB5"/>
    <w:rsid w:val="D15D4F91"/>
    <w:rsid w:val="D1D7919C"/>
    <w:rsid w:val="DE7FF3CC"/>
    <w:rsid w:val="F3FBBAEA"/>
    <w:rsid w:val="FEF185FD"/>
    <w:rsid w:val="FF9FEFB3"/>
    <w:rsid w:val="FFAC0321"/>
    <w:rsid w:val="FFBD4E78"/>
    <w:rsid w:val="FFFF4AC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2"/>
    <w:qFormat/>
    <w:uiPriority w:val="99"/>
    <w:pPr>
      <w:keepNext/>
      <w:keepLines/>
      <w:spacing w:line="576" w:lineRule="auto"/>
      <w:outlineLvl w:val="0"/>
    </w:pPr>
    <w:rPr>
      <w:rFonts w:ascii="Calibri" w:hAnsi="Calibri" w:cs="Calibri"/>
      <w:b/>
      <w:bCs/>
      <w:kern w:val="44"/>
      <w:sz w:val="44"/>
      <w:szCs w:val="44"/>
    </w:rPr>
  </w:style>
  <w:style w:type="paragraph" w:styleId="4">
    <w:name w:val="heading 2"/>
    <w:basedOn w:val="1"/>
    <w:next w:val="5"/>
    <w:link w:val="43"/>
    <w:qFormat/>
    <w:uiPriority w:val="99"/>
    <w:pPr>
      <w:keepNext/>
      <w:spacing w:line="216" w:lineRule="auto"/>
      <w:outlineLvl w:val="1"/>
    </w:pPr>
    <w:rPr>
      <w:rFonts w:ascii="宋体" w:hAnsi="Calibri" w:cs="宋体"/>
      <w:sz w:val="28"/>
      <w:szCs w:val="28"/>
    </w:rPr>
  </w:style>
  <w:style w:type="paragraph" w:styleId="6">
    <w:name w:val="heading 3"/>
    <w:basedOn w:val="4"/>
    <w:next w:val="7"/>
    <w:link w:val="44"/>
    <w:qFormat/>
    <w:uiPriority w:val="99"/>
    <w:pPr>
      <w:numPr>
        <w:ilvl w:val="0"/>
        <w:numId w:val="1"/>
      </w:numPr>
      <w:outlineLvl w:val="2"/>
    </w:pPr>
  </w:style>
  <w:style w:type="paragraph" w:styleId="2">
    <w:name w:val="heading 4"/>
    <w:basedOn w:val="1"/>
    <w:next w:val="1"/>
    <w:qFormat/>
    <w:locked/>
    <w:uiPriority w:val="0"/>
    <w:pPr>
      <w:keepLines/>
      <w:widowControl/>
      <w:autoSpaceDE w:val="0"/>
      <w:autoSpaceDN w:val="0"/>
      <w:adjustRightInd w:val="0"/>
      <w:jc w:val="left"/>
      <w:textAlignment w:val="baseline"/>
      <w:outlineLvl w:val="3"/>
    </w:pPr>
    <w:rPr>
      <w:rFonts w:eastAsia="楷体_GB2312"/>
      <w:b/>
      <w:snapToGrid w:val="0"/>
      <w:kern w:val="0"/>
      <w:sz w:val="24"/>
      <w:szCs w:val="20"/>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99"/>
    <w:pPr>
      <w:ind w:firstLine="420"/>
    </w:pPr>
  </w:style>
  <w:style w:type="paragraph" w:styleId="7">
    <w:name w:val="Body Text"/>
    <w:basedOn w:val="1"/>
    <w:next w:val="8"/>
    <w:link w:val="45"/>
    <w:qFormat/>
    <w:uiPriority w:val="99"/>
    <w:pPr>
      <w:tabs>
        <w:tab w:val="left" w:pos="1275"/>
      </w:tabs>
    </w:pPr>
  </w:style>
  <w:style w:type="paragraph" w:customStyle="1" w:styleId="8">
    <w:name w:val="Body Text First Indent1"/>
    <w:basedOn w:val="7"/>
    <w:qFormat/>
    <w:uiPriority w:val="0"/>
    <w:pPr>
      <w:ind w:firstLine="420" w:firstLineChars="100"/>
    </w:pPr>
  </w:style>
  <w:style w:type="paragraph" w:styleId="9">
    <w:name w:val="annotation text"/>
    <w:basedOn w:val="1"/>
    <w:link w:val="94"/>
    <w:qFormat/>
    <w:uiPriority w:val="0"/>
    <w:pPr>
      <w:jc w:val="left"/>
    </w:pPr>
  </w:style>
  <w:style w:type="paragraph" w:styleId="10">
    <w:name w:val="Body Text Indent"/>
    <w:basedOn w:val="1"/>
    <w:next w:val="1"/>
    <w:link w:val="46"/>
    <w:qFormat/>
    <w:uiPriority w:val="99"/>
    <w:pPr>
      <w:adjustRightInd w:val="0"/>
      <w:spacing w:line="360" w:lineRule="auto"/>
      <w:ind w:firstLine="490"/>
      <w:jc w:val="left"/>
    </w:pPr>
    <w:rPr>
      <w:rFonts w:ascii="宋体" w:hAnsi="宋体" w:cs="宋体"/>
      <w:sz w:val="24"/>
      <w:szCs w:val="24"/>
    </w:rPr>
  </w:style>
  <w:style w:type="paragraph" w:styleId="11">
    <w:name w:val="toc 3"/>
    <w:basedOn w:val="1"/>
    <w:next w:val="1"/>
    <w:semiHidden/>
    <w:qFormat/>
    <w:uiPriority w:val="99"/>
    <w:pPr>
      <w:ind w:left="840" w:leftChars="400"/>
    </w:pPr>
  </w:style>
  <w:style w:type="paragraph" w:styleId="12">
    <w:name w:val="Plain Text"/>
    <w:basedOn w:val="1"/>
    <w:next w:val="1"/>
    <w:link w:val="47"/>
    <w:qFormat/>
    <w:uiPriority w:val="0"/>
    <w:rPr>
      <w:rFonts w:ascii="宋体" w:hAnsi="Courier New" w:cs="宋体"/>
    </w:rPr>
  </w:style>
  <w:style w:type="paragraph" w:styleId="13">
    <w:name w:val="Date"/>
    <w:basedOn w:val="1"/>
    <w:next w:val="1"/>
    <w:link w:val="48"/>
    <w:qFormat/>
    <w:uiPriority w:val="99"/>
    <w:pPr>
      <w:ind w:left="100" w:leftChars="2500"/>
    </w:pPr>
    <w:rPr>
      <w:rFonts w:ascii="宋体" w:hAnsi="宋体" w:cs="宋体"/>
      <w:color w:val="000000"/>
      <w:sz w:val="24"/>
      <w:szCs w:val="24"/>
    </w:rPr>
  </w:style>
  <w:style w:type="paragraph" w:styleId="14">
    <w:name w:val="Balloon Text"/>
    <w:basedOn w:val="1"/>
    <w:link w:val="49"/>
    <w:semiHidden/>
    <w:qFormat/>
    <w:uiPriority w:val="99"/>
    <w:rPr>
      <w:sz w:val="18"/>
      <w:szCs w:val="18"/>
    </w:rPr>
  </w:style>
  <w:style w:type="paragraph" w:styleId="15">
    <w:name w:val="footer"/>
    <w:basedOn w:val="1"/>
    <w:link w:val="50"/>
    <w:qFormat/>
    <w:uiPriority w:val="99"/>
    <w:pPr>
      <w:tabs>
        <w:tab w:val="center" w:pos="4153"/>
        <w:tab w:val="right" w:pos="8306"/>
      </w:tabs>
      <w:snapToGrid w:val="0"/>
      <w:jc w:val="left"/>
    </w:pPr>
    <w:rPr>
      <w:sz w:val="18"/>
      <w:szCs w:val="18"/>
    </w:rPr>
  </w:style>
  <w:style w:type="paragraph" w:styleId="16">
    <w:name w:val="header"/>
    <w:basedOn w:val="1"/>
    <w:link w:val="51"/>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17">
    <w:name w:val="toc 1"/>
    <w:basedOn w:val="1"/>
    <w:next w:val="1"/>
    <w:semiHidden/>
    <w:qFormat/>
    <w:uiPriority w:val="99"/>
  </w:style>
  <w:style w:type="paragraph" w:styleId="18">
    <w:name w:val="toc 6"/>
    <w:basedOn w:val="1"/>
    <w:next w:val="1"/>
    <w:semiHidden/>
    <w:qFormat/>
    <w:uiPriority w:val="0"/>
    <w:pPr>
      <w:ind w:left="2100" w:leftChars="1000"/>
    </w:pPr>
  </w:style>
  <w:style w:type="paragraph" w:styleId="19">
    <w:name w:val="toc 2"/>
    <w:basedOn w:val="1"/>
    <w:next w:val="1"/>
    <w:semiHidden/>
    <w:qFormat/>
    <w:uiPriority w:val="99"/>
    <w:pPr>
      <w:ind w:left="420" w:leftChars="200"/>
    </w:p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22">
    <w:name w:val="Title"/>
    <w:basedOn w:val="1"/>
    <w:qFormat/>
    <w:locked/>
    <w:uiPriority w:val="10"/>
    <w:pPr>
      <w:widowControl/>
      <w:overflowPunct w:val="0"/>
      <w:autoSpaceDE w:val="0"/>
      <w:autoSpaceDN w:val="0"/>
      <w:adjustRightInd w:val="0"/>
      <w:jc w:val="center"/>
      <w:textAlignment w:val="baseline"/>
    </w:pPr>
    <w:rPr>
      <w:b/>
      <w:kern w:val="0"/>
      <w:sz w:val="24"/>
      <w:szCs w:val="20"/>
      <w:lang w:val="en-GB"/>
    </w:rPr>
  </w:style>
  <w:style w:type="paragraph" w:styleId="23">
    <w:name w:val="annotation subject"/>
    <w:basedOn w:val="9"/>
    <w:next w:val="9"/>
    <w:link w:val="95"/>
    <w:semiHidden/>
    <w:unhideWhenUsed/>
    <w:uiPriority w:val="99"/>
    <w:rPr>
      <w:b/>
      <w:bCs/>
    </w:rPr>
  </w:style>
  <w:style w:type="paragraph" w:styleId="24">
    <w:name w:val="Body Text First Indent"/>
    <w:basedOn w:val="7"/>
    <w:next w:val="18"/>
    <w:link w:val="52"/>
    <w:qFormat/>
    <w:uiPriority w:val="99"/>
    <w:pPr>
      <w:ind w:firstLine="420" w:firstLineChars="100"/>
    </w:pPr>
  </w:style>
  <w:style w:type="paragraph" w:styleId="25">
    <w:name w:val="Body Text First Indent 2"/>
    <w:basedOn w:val="10"/>
    <w:next w:val="24"/>
    <w:qFormat/>
    <w:uiPriority w:val="0"/>
    <w:pPr>
      <w:ind w:firstLine="420"/>
    </w:pPr>
  </w:style>
  <w:style w:type="table" w:styleId="27">
    <w:name w:val="Table Grid"/>
    <w:basedOn w:val="26"/>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99"/>
    <w:rPr>
      <w:b/>
      <w:bCs/>
    </w:rPr>
  </w:style>
  <w:style w:type="character" w:styleId="30">
    <w:name w:val="page number"/>
    <w:basedOn w:val="28"/>
    <w:qFormat/>
    <w:uiPriority w:val="99"/>
  </w:style>
  <w:style w:type="character" w:styleId="31">
    <w:name w:val="FollowedHyperlink"/>
    <w:basedOn w:val="28"/>
    <w:semiHidden/>
    <w:unhideWhenUsed/>
    <w:qFormat/>
    <w:uiPriority w:val="99"/>
    <w:rPr>
      <w:color w:val="333333"/>
      <w:u w:val="none"/>
    </w:rPr>
  </w:style>
  <w:style w:type="character" w:styleId="32">
    <w:name w:val="Hyperlink"/>
    <w:basedOn w:val="28"/>
    <w:qFormat/>
    <w:uiPriority w:val="99"/>
    <w:rPr>
      <w:color w:val="0000FF"/>
      <w:u w:val="single"/>
    </w:rPr>
  </w:style>
  <w:style w:type="character" w:styleId="33">
    <w:name w:val="annotation reference"/>
    <w:basedOn w:val="28"/>
    <w:semiHidden/>
    <w:unhideWhenUsed/>
    <w:uiPriority w:val="99"/>
    <w:rPr>
      <w:sz w:val="21"/>
      <w:szCs w:val="21"/>
    </w:rPr>
  </w:style>
  <w:style w:type="paragraph" w:customStyle="1" w:styleId="34">
    <w:name w:val="表格文字"/>
    <w:basedOn w:val="1"/>
    <w:next w:val="7"/>
    <w:qFormat/>
    <w:uiPriority w:val="0"/>
    <w:pPr>
      <w:adjustRightInd w:val="0"/>
      <w:spacing w:line="420" w:lineRule="atLeast"/>
      <w:textAlignment w:val="baseline"/>
    </w:pPr>
  </w:style>
  <w:style w:type="paragraph" w:customStyle="1" w:styleId="35">
    <w:name w:val="样式 表格正文 + 两端对齐"/>
    <w:basedOn w:val="1"/>
    <w:next w:val="36"/>
    <w:qFormat/>
    <w:uiPriority w:val="99"/>
    <w:pPr>
      <w:spacing w:line="300" w:lineRule="auto"/>
    </w:pPr>
    <w:rPr>
      <w:sz w:val="24"/>
      <w:szCs w:val="24"/>
    </w:rPr>
  </w:style>
  <w:style w:type="paragraph" w:customStyle="1" w:styleId="36">
    <w:name w:val="正文1"/>
    <w:basedOn w:val="1"/>
    <w:next w:val="37"/>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37">
    <w:name w:val="自动更正"/>
    <w:next w:val="38"/>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8">
    <w:name w:val="xl39"/>
    <w:basedOn w:val="1"/>
    <w:next w:val="39"/>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39">
    <w:name w:val="分手多日，近况如何？"/>
    <w:next w:val="1"/>
    <w:qFormat/>
    <w:uiPriority w:val="99"/>
    <w:pPr>
      <w:widowControl w:val="0"/>
      <w:jc w:val="both"/>
    </w:pPr>
    <w:rPr>
      <w:rFonts w:ascii="Times New Roman" w:hAnsi="Times New Roman" w:eastAsia="宋体" w:cs="Times New Roman"/>
      <w:sz w:val="21"/>
      <w:szCs w:val="21"/>
      <w:lang w:val="en-US" w:eastAsia="zh-CN" w:bidi="ar-SA"/>
    </w:rPr>
  </w:style>
  <w:style w:type="paragraph" w:customStyle="1" w:styleId="40">
    <w:name w:val="正文缩进1"/>
    <w:basedOn w:val="1"/>
    <w:next w:val="10"/>
    <w:qFormat/>
    <w:uiPriority w:val="0"/>
    <w:pPr>
      <w:ind w:firstLine="420" w:firstLineChars="200"/>
    </w:pPr>
  </w:style>
  <w:style w:type="paragraph" w:customStyle="1" w:styleId="41">
    <w:name w:val="正文（首行缩进2字符）"/>
    <w:basedOn w:val="1"/>
    <w:qFormat/>
    <w:uiPriority w:val="0"/>
    <w:pPr>
      <w:spacing w:line="360" w:lineRule="auto"/>
      <w:ind w:firstLine="480" w:firstLineChars="200"/>
    </w:pPr>
    <w:rPr>
      <w:sz w:val="24"/>
      <w:szCs w:val="20"/>
    </w:rPr>
  </w:style>
  <w:style w:type="character" w:customStyle="1" w:styleId="42">
    <w:name w:val="标题 1 Char"/>
    <w:basedOn w:val="28"/>
    <w:link w:val="3"/>
    <w:qFormat/>
    <w:locked/>
    <w:uiPriority w:val="99"/>
    <w:rPr>
      <w:b/>
      <w:bCs/>
      <w:kern w:val="44"/>
      <w:sz w:val="44"/>
      <w:szCs w:val="44"/>
    </w:rPr>
  </w:style>
  <w:style w:type="character" w:customStyle="1" w:styleId="43">
    <w:name w:val="标题 2 Char"/>
    <w:basedOn w:val="28"/>
    <w:link w:val="4"/>
    <w:qFormat/>
    <w:locked/>
    <w:uiPriority w:val="99"/>
    <w:rPr>
      <w:rFonts w:ascii="宋体" w:cs="宋体"/>
      <w:b/>
      <w:bCs/>
      <w:kern w:val="2"/>
      <w:sz w:val="28"/>
      <w:szCs w:val="28"/>
    </w:rPr>
  </w:style>
  <w:style w:type="character" w:customStyle="1" w:styleId="44">
    <w:name w:val="标题 3 Char"/>
    <w:basedOn w:val="28"/>
    <w:link w:val="6"/>
    <w:qFormat/>
    <w:locked/>
    <w:uiPriority w:val="99"/>
    <w:rPr>
      <w:rFonts w:ascii="宋体" w:cs="宋体"/>
      <w:b/>
      <w:bCs/>
      <w:kern w:val="2"/>
      <w:sz w:val="28"/>
      <w:szCs w:val="28"/>
    </w:rPr>
  </w:style>
  <w:style w:type="character" w:customStyle="1" w:styleId="45">
    <w:name w:val="正文文本 Char"/>
    <w:basedOn w:val="28"/>
    <w:link w:val="7"/>
    <w:semiHidden/>
    <w:qFormat/>
    <w:uiPriority w:val="99"/>
    <w:rPr>
      <w:rFonts w:ascii="Times New Roman" w:hAnsi="Times New Roman"/>
      <w:szCs w:val="21"/>
    </w:rPr>
  </w:style>
  <w:style w:type="character" w:customStyle="1" w:styleId="46">
    <w:name w:val="正文文本缩进 Char"/>
    <w:basedOn w:val="28"/>
    <w:link w:val="10"/>
    <w:semiHidden/>
    <w:qFormat/>
    <w:uiPriority w:val="99"/>
    <w:rPr>
      <w:rFonts w:ascii="Times New Roman" w:hAnsi="Times New Roman"/>
      <w:szCs w:val="21"/>
    </w:rPr>
  </w:style>
  <w:style w:type="character" w:customStyle="1" w:styleId="47">
    <w:name w:val="纯文本 Char"/>
    <w:basedOn w:val="28"/>
    <w:link w:val="12"/>
    <w:qFormat/>
    <w:uiPriority w:val="0"/>
    <w:rPr>
      <w:rFonts w:ascii="宋体" w:hAnsi="Courier New" w:cs="Courier New"/>
      <w:szCs w:val="21"/>
    </w:rPr>
  </w:style>
  <w:style w:type="character" w:customStyle="1" w:styleId="48">
    <w:name w:val="日期 Char"/>
    <w:basedOn w:val="28"/>
    <w:link w:val="13"/>
    <w:semiHidden/>
    <w:qFormat/>
    <w:uiPriority w:val="99"/>
    <w:rPr>
      <w:rFonts w:ascii="Times New Roman" w:hAnsi="Times New Roman"/>
      <w:szCs w:val="21"/>
    </w:rPr>
  </w:style>
  <w:style w:type="character" w:customStyle="1" w:styleId="49">
    <w:name w:val="批注框文本 Char"/>
    <w:basedOn w:val="28"/>
    <w:link w:val="14"/>
    <w:qFormat/>
    <w:locked/>
    <w:uiPriority w:val="99"/>
    <w:rPr>
      <w:kern w:val="2"/>
      <w:sz w:val="18"/>
      <w:szCs w:val="18"/>
    </w:rPr>
  </w:style>
  <w:style w:type="character" w:customStyle="1" w:styleId="50">
    <w:name w:val="页脚 Char"/>
    <w:basedOn w:val="28"/>
    <w:link w:val="15"/>
    <w:semiHidden/>
    <w:qFormat/>
    <w:uiPriority w:val="99"/>
    <w:rPr>
      <w:rFonts w:ascii="Times New Roman" w:hAnsi="Times New Roman"/>
      <w:sz w:val="18"/>
      <w:szCs w:val="18"/>
    </w:rPr>
  </w:style>
  <w:style w:type="character" w:customStyle="1" w:styleId="51">
    <w:name w:val="页眉 Char"/>
    <w:basedOn w:val="28"/>
    <w:link w:val="16"/>
    <w:semiHidden/>
    <w:qFormat/>
    <w:uiPriority w:val="99"/>
    <w:rPr>
      <w:rFonts w:ascii="Times New Roman" w:hAnsi="Times New Roman"/>
      <w:sz w:val="18"/>
      <w:szCs w:val="18"/>
    </w:rPr>
  </w:style>
  <w:style w:type="character" w:customStyle="1" w:styleId="52">
    <w:name w:val="正文首行缩进 Char"/>
    <w:basedOn w:val="45"/>
    <w:link w:val="24"/>
    <w:semiHidden/>
    <w:qFormat/>
    <w:uiPriority w:val="99"/>
    <w:rPr>
      <w:rFonts w:ascii="Times New Roman" w:hAnsi="Times New Roman"/>
      <w:szCs w:val="21"/>
    </w:rPr>
  </w:style>
  <w:style w:type="paragraph" w:customStyle="1" w:styleId="53">
    <w:name w:val="正文2"/>
    <w:basedOn w:val="1"/>
    <w:qFormat/>
    <w:uiPriority w:val="99"/>
    <w:pPr>
      <w:adjustRightInd w:val="0"/>
      <w:spacing w:before="156" w:line="360" w:lineRule="auto"/>
      <w:ind w:firstLine="510" w:firstLineChars="200"/>
    </w:pPr>
    <w:rPr>
      <w:sz w:val="24"/>
      <w:szCs w:val="24"/>
    </w:rPr>
  </w:style>
  <w:style w:type="paragraph" w:customStyle="1" w:styleId="54">
    <w:name w:val="List Paragraph1"/>
    <w:basedOn w:val="1"/>
    <w:qFormat/>
    <w:uiPriority w:val="99"/>
    <w:pPr>
      <w:widowControl/>
      <w:ind w:firstLine="420" w:firstLineChars="200"/>
      <w:jc w:val="left"/>
    </w:pPr>
    <w:rPr>
      <w:rFonts w:ascii="Calibri" w:hAnsi="Calibri" w:cs="Calibri"/>
    </w:rPr>
  </w:style>
  <w:style w:type="character" w:customStyle="1" w:styleId="55">
    <w:name w:val="style81"/>
    <w:qFormat/>
    <w:uiPriority w:val="99"/>
    <w:rPr>
      <w:sz w:val="20"/>
      <w:szCs w:val="20"/>
    </w:rPr>
  </w:style>
  <w:style w:type="paragraph" w:customStyle="1" w:styleId="56">
    <w:name w:val="列出段落1"/>
    <w:basedOn w:val="1"/>
    <w:qFormat/>
    <w:uiPriority w:val="99"/>
    <w:pPr>
      <w:ind w:firstLine="420"/>
      <w:jc w:val="left"/>
    </w:pPr>
  </w:style>
  <w:style w:type="paragraph" w:customStyle="1" w:styleId="57">
    <w:name w:val="表格"/>
    <w:basedOn w:val="1"/>
    <w:qFormat/>
    <w:uiPriority w:val="99"/>
    <w:pPr>
      <w:autoSpaceDE w:val="0"/>
      <w:autoSpaceDN w:val="0"/>
      <w:jc w:val="center"/>
      <w:textAlignment w:val="baseline"/>
    </w:pPr>
    <w:rPr>
      <w:color w:val="000000"/>
      <w:kern w:val="0"/>
    </w:rPr>
  </w:style>
  <w:style w:type="character" w:customStyle="1" w:styleId="58">
    <w:name w:val="02 Char"/>
    <w:link w:val="59"/>
    <w:qFormat/>
    <w:locked/>
    <w:uiPriority w:val="99"/>
    <w:rPr>
      <w:rFonts w:ascii="宋体" w:cs="宋体"/>
      <w:b/>
      <w:bCs/>
      <w:color w:val="FF0000"/>
      <w:kern w:val="2"/>
      <w:sz w:val="28"/>
      <w:szCs w:val="28"/>
    </w:rPr>
  </w:style>
  <w:style w:type="paragraph" w:customStyle="1" w:styleId="59">
    <w:name w:val="02"/>
    <w:basedOn w:val="4"/>
    <w:link w:val="58"/>
    <w:qFormat/>
    <w:uiPriority w:val="99"/>
    <w:pPr>
      <w:jc w:val="center"/>
    </w:pPr>
    <w:rPr>
      <w:color w:val="FF0000"/>
    </w:rPr>
  </w:style>
  <w:style w:type="character" w:customStyle="1" w:styleId="60">
    <w:name w:val="03 Char"/>
    <w:link w:val="61"/>
    <w:qFormat/>
    <w:locked/>
    <w:uiPriority w:val="99"/>
    <w:rPr>
      <w:rFonts w:ascii="宋体" w:cs="宋体"/>
      <w:b/>
      <w:bCs/>
      <w:kern w:val="2"/>
      <w:sz w:val="28"/>
      <w:szCs w:val="28"/>
    </w:rPr>
  </w:style>
  <w:style w:type="paragraph" w:customStyle="1" w:styleId="61">
    <w:name w:val="03"/>
    <w:basedOn w:val="6"/>
    <w:link w:val="60"/>
    <w:qFormat/>
    <w:uiPriority w:val="99"/>
    <w:pPr>
      <w:numPr>
        <w:ilvl w:val="0"/>
        <w:numId w:val="0"/>
      </w:numPr>
    </w:pPr>
  </w:style>
  <w:style w:type="character" w:customStyle="1" w:styleId="62">
    <w:name w:val="宋体小四 Char"/>
    <w:link w:val="63"/>
    <w:qFormat/>
    <w:locked/>
    <w:uiPriority w:val="99"/>
    <w:rPr>
      <w:rFonts w:ascii="宋体" w:eastAsia="宋体" w:cs="宋体"/>
      <w:kern w:val="2"/>
      <w:sz w:val="24"/>
      <w:szCs w:val="24"/>
    </w:rPr>
  </w:style>
  <w:style w:type="paragraph" w:customStyle="1" w:styleId="63">
    <w:name w:val="宋体小四"/>
    <w:basedOn w:val="1"/>
    <w:link w:val="62"/>
    <w:qFormat/>
    <w:uiPriority w:val="99"/>
    <w:pPr>
      <w:spacing w:line="360" w:lineRule="auto"/>
      <w:ind w:firstLine="480" w:firstLineChars="200"/>
    </w:pPr>
    <w:rPr>
      <w:rFonts w:ascii="宋体" w:hAnsi="宋体" w:cs="宋体"/>
      <w:sz w:val="24"/>
      <w:szCs w:val="24"/>
    </w:rPr>
  </w:style>
  <w:style w:type="character" w:customStyle="1" w:styleId="64">
    <w:name w:val="fontstyle01"/>
    <w:basedOn w:val="28"/>
    <w:qFormat/>
    <w:uiPriority w:val="99"/>
    <w:rPr>
      <w:rFonts w:ascii="宋体" w:eastAsia="宋体" w:cs="宋体"/>
      <w:color w:val="000000"/>
      <w:sz w:val="22"/>
      <w:szCs w:val="22"/>
    </w:rPr>
  </w:style>
  <w:style w:type="paragraph" w:customStyle="1" w:styleId="65">
    <w:name w:val="正文首行缩进2字符"/>
    <w:basedOn w:val="1"/>
    <w:qFormat/>
    <w:uiPriority w:val="99"/>
    <w:pPr>
      <w:spacing w:line="360" w:lineRule="auto"/>
      <w:ind w:firstLine="200" w:firstLineChars="200"/>
    </w:pPr>
  </w:style>
  <w:style w:type="paragraph" w:customStyle="1" w:styleId="66">
    <w:name w:val="居中表格内容标题"/>
    <w:basedOn w:val="67"/>
    <w:qFormat/>
    <w:uiPriority w:val="0"/>
    <w:pPr>
      <w:jc w:val="center"/>
    </w:pPr>
    <w:rPr>
      <w:b/>
    </w:rPr>
  </w:style>
  <w:style w:type="paragraph" w:customStyle="1" w:styleId="67">
    <w:name w:val="居中表格内容"/>
    <w:basedOn w:val="1"/>
    <w:next w:val="1"/>
    <w:qFormat/>
    <w:uiPriority w:val="0"/>
    <w:pPr>
      <w:jc w:val="left"/>
    </w:pPr>
    <w:rPr>
      <w:szCs w:val="28"/>
    </w:rPr>
  </w:style>
  <w:style w:type="paragraph" w:customStyle="1" w:styleId="68">
    <w:name w:val="Body text|1"/>
    <w:basedOn w:val="1"/>
    <w:qFormat/>
    <w:uiPriority w:val="0"/>
    <w:pPr>
      <w:spacing w:line="374" w:lineRule="auto"/>
      <w:ind w:firstLine="400"/>
    </w:pPr>
    <w:rPr>
      <w:rFonts w:ascii="宋体" w:hAnsi="宋体" w:cs="宋体"/>
      <w:sz w:val="30"/>
      <w:szCs w:val="30"/>
      <w:lang w:val="zh-TW" w:eastAsia="zh-TW" w:bidi="zh-TW"/>
    </w:rPr>
  </w:style>
  <w:style w:type="paragraph" w:customStyle="1" w:styleId="69">
    <w:name w:val="Body text|2"/>
    <w:basedOn w:val="1"/>
    <w:qFormat/>
    <w:uiPriority w:val="0"/>
    <w:pPr>
      <w:spacing w:line="360" w:lineRule="auto"/>
      <w:ind w:firstLine="660"/>
    </w:pPr>
    <w:rPr>
      <w:sz w:val="32"/>
      <w:szCs w:val="32"/>
      <w:lang w:val="zh-TW" w:eastAsia="zh-TW" w:bidi="zh-TW"/>
    </w:rPr>
  </w:style>
  <w:style w:type="character" w:customStyle="1" w:styleId="70">
    <w:name w:val="NormalCharacter"/>
    <w:semiHidden/>
    <w:qFormat/>
    <w:uiPriority w:val="0"/>
  </w:style>
  <w:style w:type="paragraph" w:customStyle="1" w:styleId="71">
    <w:name w:val="CM26"/>
    <w:basedOn w:val="1"/>
    <w:next w:val="1"/>
    <w:qFormat/>
    <w:uiPriority w:val="0"/>
    <w:pPr>
      <w:autoSpaceDE w:val="0"/>
      <w:autoSpaceDN w:val="0"/>
      <w:adjustRightInd w:val="0"/>
      <w:spacing w:line="400" w:lineRule="atLeast"/>
      <w:jc w:val="left"/>
    </w:pPr>
    <w:rPr>
      <w:rFonts w:ascii="宋体" w:hAnsi="宋体"/>
      <w:kern w:val="0"/>
      <w:sz w:val="24"/>
    </w:rPr>
  </w:style>
  <w:style w:type="paragraph" w:customStyle="1" w:styleId="72">
    <w:name w:val="xc正文"/>
    <w:basedOn w:val="1"/>
    <w:qFormat/>
    <w:uiPriority w:val="0"/>
    <w:pPr>
      <w:ind w:firstLine="200" w:firstLineChars="200"/>
    </w:pPr>
    <w:rPr>
      <w:szCs w:val="24"/>
    </w:rPr>
  </w:style>
  <w:style w:type="paragraph" w:styleId="73">
    <w:name w:val="List Paragraph"/>
    <w:basedOn w:val="1"/>
    <w:qFormat/>
    <w:uiPriority w:val="1"/>
    <w:pPr>
      <w:ind w:firstLine="420" w:firstLineChars="200"/>
    </w:pPr>
    <w:rPr>
      <w:szCs w:val="24"/>
    </w:rPr>
  </w:style>
  <w:style w:type="character" w:customStyle="1" w:styleId="74">
    <w:name w:val="fontstyle21"/>
    <w:qFormat/>
    <w:uiPriority w:val="0"/>
    <w:rPr>
      <w:rFonts w:hint="default" w:ascii="TimesNewRomanPSMT" w:hAnsi="TimesNewRomanPSMT"/>
      <w:color w:val="000000"/>
      <w:sz w:val="32"/>
      <w:szCs w:val="32"/>
    </w:rPr>
  </w:style>
  <w:style w:type="paragraph" w:customStyle="1" w:styleId="75">
    <w:name w:val="_Style 16"/>
    <w:next w:val="1"/>
    <w:qFormat/>
    <w:uiPriority w:val="39"/>
    <w:pPr>
      <w:widowControl w:val="0"/>
      <w:tabs>
        <w:tab w:val="left" w:pos="540"/>
        <w:tab w:val="right" w:leader="dot" w:pos="8890"/>
      </w:tabs>
      <w:spacing w:beforeLines="15" w:afterLines="15" w:line="560" w:lineRule="exact"/>
    </w:pPr>
    <w:rPr>
      <w:rFonts w:ascii="Times New Roman" w:hAnsi="Times New Roman" w:eastAsia="黑体" w:cs="Times New Roman"/>
      <w:b/>
      <w:bCs/>
      <w:caps/>
      <w:kern w:val="2"/>
      <w:sz w:val="28"/>
      <w:szCs w:val="28"/>
      <w:lang w:val="en-US" w:eastAsia="zh-CN" w:bidi="ar-SA"/>
    </w:rPr>
  </w:style>
  <w:style w:type="paragraph" w:customStyle="1" w:styleId="76">
    <w:name w:val="_Style 76"/>
    <w:basedOn w:val="1"/>
    <w:next w:val="73"/>
    <w:qFormat/>
    <w:uiPriority w:val="34"/>
    <w:pPr>
      <w:ind w:firstLine="420" w:firstLineChars="200"/>
    </w:pPr>
    <w:rPr>
      <w:szCs w:val="24"/>
    </w:rPr>
  </w:style>
  <w:style w:type="paragraph" w:customStyle="1" w:styleId="77">
    <w:name w:val="纯文本1"/>
    <w:basedOn w:val="1"/>
    <w:qFormat/>
    <w:uiPriority w:val="0"/>
    <w:pPr>
      <w:ind w:firstLine="280" w:firstLineChars="100"/>
    </w:pPr>
    <w:rPr>
      <w:rFonts w:hAnsi="宋体" w:cs="Courier New"/>
    </w:rPr>
  </w:style>
  <w:style w:type="paragraph" w:customStyle="1" w:styleId="78">
    <w:name w:val="居中表名"/>
    <w:basedOn w:val="1"/>
    <w:next w:val="1"/>
    <w:qFormat/>
    <w:uiPriority w:val="0"/>
    <w:pPr>
      <w:jc w:val="center"/>
    </w:pPr>
    <w:rPr>
      <w:rFonts w:eastAsia="黑体"/>
      <w:b/>
      <w:szCs w:val="28"/>
    </w:rPr>
  </w:style>
  <w:style w:type="paragraph" w:customStyle="1" w:styleId="79">
    <w:name w:val="列表段落1"/>
    <w:basedOn w:val="1"/>
    <w:qFormat/>
    <w:uiPriority w:val="0"/>
    <w:pPr>
      <w:ind w:firstLine="420"/>
    </w:pPr>
  </w:style>
  <w:style w:type="paragraph" w:customStyle="1" w:styleId="80">
    <w:name w:val="[Normal]"/>
    <w:qFormat/>
    <w:uiPriority w:val="0"/>
    <w:rPr>
      <w:rFonts w:ascii="宋体" w:hAnsi="宋体" w:eastAsia="宋体" w:cs="Times New Roman"/>
      <w:sz w:val="24"/>
      <w:szCs w:val="22"/>
      <w:lang w:val="zh-CN" w:eastAsia="zh-CN" w:bidi="ar-SA"/>
    </w:rPr>
  </w:style>
  <w:style w:type="paragraph" w:customStyle="1" w:styleId="81">
    <w:name w:val="列出段落2"/>
    <w:basedOn w:val="1"/>
    <w:qFormat/>
    <w:uiPriority w:val="1"/>
    <w:pPr>
      <w:ind w:firstLine="420" w:firstLineChars="200"/>
    </w:pPr>
    <w:rPr>
      <w:szCs w:val="24"/>
    </w:rPr>
  </w:style>
  <w:style w:type="character" w:customStyle="1" w:styleId="82">
    <w:name w:val="font21"/>
    <w:qFormat/>
    <w:uiPriority w:val="0"/>
    <w:rPr>
      <w:rFonts w:hint="eastAsia" w:ascii="宋体" w:hAnsi="宋体" w:eastAsia="宋体" w:cs="宋体"/>
      <w:b/>
      <w:color w:val="FF0000"/>
      <w:sz w:val="24"/>
      <w:szCs w:val="24"/>
      <w:u w:val="none"/>
    </w:rPr>
  </w:style>
  <w:style w:type="paragraph" w:customStyle="1" w:styleId="83">
    <w:name w:val="样式6"/>
    <w:basedOn w:val="12"/>
    <w:qFormat/>
    <w:uiPriority w:val="0"/>
    <w:pPr>
      <w:adjustRightInd w:val="0"/>
      <w:spacing w:line="460" w:lineRule="exact"/>
      <w:outlineLvl w:val="2"/>
    </w:pPr>
    <w:rPr>
      <w:rFonts w:ascii="仿宋_GB2312" w:hAnsi="宋体" w:eastAsia="仿宋_GB2312" w:cs="Times New Roman"/>
      <w:b/>
      <w:bCs/>
      <w:sz w:val="24"/>
      <w:szCs w:val="24"/>
    </w:rPr>
  </w:style>
  <w:style w:type="paragraph" w:customStyle="1" w:styleId="84">
    <w:name w:val="我的正文"/>
    <w:basedOn w:val="1"/>
    <w:qFormat/>
    <w:uiPriority w:val="0"/>
    <w:pPr>
      <w:spacing w:line="360" w:lineRule="auto"/>
      <w:ind w:firstLine="200" w:firstLineChars="200"/>
    </w:pPr>
    <w:rPr>
      <w:sz w:val="24"/>
    </w:rPr>
  </w:style>
  <w:style w:type="paragraph" w:styleId="85">
    <w:name w:val="No Spacing"/>
    <w:qFormat/>
    <w:uiPriority w:val="1"/>
    <w:pPr>
      <w:widowControl w:val="0"/>
      <w:ind w:firstLine="200" w:firstLineChars="200"/>
      <w:jc w:val="both"/>
    </w:pPr>
    <w:rPr>
      <w:rFonts w:ascii="等线" w:hAnsi="等线" w:eastAsia="仿宋" w:cs="Times New Roman"/>
      <w:kern w:val="2"/>
      <w:sz w:val="24"/>
      <w:szCs w:val="22"/>
      <w:lang w:val="en-US" w:eastAsia="zh-CN" w:bidi="ar-SA"/>
    </w:rPr>
  </w:style>
  <w:style w:type="paragraph" w:customStyle="1" w:styleId="86">
    <w:name w:val="Table Paragraph"/>
    <w:basedOn w:val="1"/>
    <w:qFormat/>
    <w:uiPriority w:val="1"/>
    <w:pPr>
      <w:jc w:val="left"/>
    </w:pPr>
    <w:rPr>
      <w:rFonts w:ascii="Calibri" w:hAnsi="Calibri" w:eastAsia="Calibri"/>
      <w:kern w:val="0"/>
      <w:sz w:val="22"/>
      <w:szCs w:val="20"/>
      <w:lang w:eastAsia="en-US"/>
    </w:rPr>
  </w:style>
  <w:style w:type="paragraph" w:customStyle="1" w:styleId="87">
    <w:name w:val="Dist 正文"/>
    <w:basedOn w:val="1"/>
    <w:qFormat/>
    <w:uiPriority w:val="0"/>
    <w:pPr>
      <w:widowControl/>
      <w:spacing w:line="360" w:lineRule="auto"/>
      <w:jc w:val="left"/>
    </w:pPr>
    <w:rPr>
      <w:rFonts w:ascii="宋体"/>
      <w:kern w:val="0"/>
      <w:sz w:val="20"/>
      <w:szCs w:val="20"/>
    </w:rPr>
  </w:style>
  <w:style w:type="paragraph" w:customStyle="1" w:styleId="88">
    <w:name w:val="列出段落3"/>
    <w:basedOn w:val="1"/>
    <w:qFormat/>
    <w:uiPriority w:val="0"/>
    <w:pPr>
      <w:spacing w:line="360" w:lineRule="auto"/>
      <w:ind w:firstLine="420" w:firstLineChars="200"/>
    </w:pPr>
    <w:rPr>
      <w:rFonts w:ascii="Calibri" w:hAnsi="Calibri"/>
      <w:sz w:val="24"/>
      <w:szCs w:val="22"/>
    </w:rPr>
  </w:style>
  <w:style w:type="paragraph" w:customStyle="1" w:styleId="8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90">
    <w:name w:val="BodyText1I2"/>
    <w:basedOn w:val="91"/>
    <w:qFormat/>
    <w:uiPriority w:val="0"/>
    <w:pPr>
      <w:ind w:firstLine="420"/>
    </w:pPr>
    <w:rPr>
      <w:sz w:val="21"/>
    </w:rPr>
  </w:style>
  <w:style w:type="paragraph" w:customStyle="1" w:styleId="91">
    <w:name w:val="BodyTextIndent"/>
    <w:basedOn w:val="1"/>
    <w:qFormat/>
    <w:uiPriority w:val="0"/>
    <w:pPr>
      <w:spacing w:line="360" w:lineRule="auto"/>
      <w:ind w:firstLine="490"/>
      <w:jc w:val="left"/>
    </w:pPr>
    <w:rPr>
      <w:rFonts w:ascii="宋体" w:hAnsi="宋体"/>
      <w:sz w:val="24"/>
    </w:rPr>
  </w:style>
  <w:style w:type="paragraph" w:customStyle="1" w:styleId="92">
    <w:name w:val="NormalIndent"/>
    <w:basedOn w:val="1"/>
    <w:qFormat/>
    <w:uiPriority w:val="0"/>
    <w:pPr>
      <w:ind w:firstLine="420"/>
    </w:pPr>
  </w:style>
  <w:style w:type="paragraph" w:customStyle="1" w:styleId="93">
    <w:name w:val="Char Char Char Char Char Char"/>
    <w:basedOn w:val="1"/>
    <w:qFormat/>
    <w:uiPriority w:val="99"/>
    <w:pPr>
      <w:widowControl/>
      <w:adjustRightInd w:val="0"/>
      <w:spacing w:beforeLines="50" w:afterLines="50" w:line="240" w:lineRule="exact"/>
      <w:jc w:val="left"/>
    </w:pPr>
    <w:rPr>
      <w:rFonts w:ascii="Verdana" w:hAnsi="Verdana"/>
      <w:sz w:val="20"/>
      <w:lang w:eastAsia="en-US"/>
    </w:rPr>
  </w:style>
  <w:style w:type="character" w:customStyle="1" w:styleId="94">
    <w:name w:val="批注文字 Char"/>
    <w:basedOn w:val="28"/>
    <w:link w:val="9"/>
    <w:uiPriority w:val="0"/>
    <w:rPr>
      <w:kern w:val="2"/>
      <w:sz w:val="21"/>
      <w:szCs w:val="21"/>
    </w:rPr>
  </w:style>
  <w:style w:type="character" w:customStyle="1" w:styleId="95">
    <w:name w:val="批注主题 Char"/>
    <w:basedOn w:val="94"/>
    <w:link w:val="23"/>
    <w:semiHidden/>
    <w:uiPriority w:val="99"/>
    <w:rPr>
      <w:b/>
      <w:bCs/>
      <w:kern w:val="2"/>
      <w:sz w:val="21"/>
      <w:szCs w:val="21"/>
    </w:rPr>
  </w:style>
  <w:style w:type="paragraph" w:customStyle="1" w:styleId="96">
    <w:name w:val="Revision"/>
    <w:hidden/>
    <w:unhideWhenUsed/>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3073"/>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AFA57-1814-443D-AE61-2E09FF0C2452}">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49</Pages>
  <Words>4462</Words>
  <Characters>25434</Characters>
  <Lines>211</Lines>
  <Paragraphs>59</Paragraphs>
  <TotalTime>28</TotalTime>
  <ScaleCrop>false</ScaleCrop>
  <LinksUpToDate>false</LinksUpToDate>
  <CharactersWithSpaces>29837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2023-05-26T07:38:00Z</dcterms:created>
  <dc:creator>陈圣楠</dc:creator>
  <cp:lastModifiedBy>Administrator</cp:lastModifiedBy>
  <cp:lastPrinted>2022-06-25T07:12:00Z</cp:lastPrinted>
  <dcterms:modified xsi:type="dcterms:W3CDTF">2024-04-07T08:24:41Z</dcterms:modified>
  <dc:title>上虞区自然资源变更监测项目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170E0EF50DAC417D9E52F2C277E68009</vt:lpwstr>
  </property>
</Properties>
</file>