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eastAsiaTheme="minorEastAsia"/>
          <w:b/>
          <w:bCs/>
          <w:sz w:val="48"/>
          <w:szCs w:val="48"/>
          <w:u w:val="single"/>
        </w:rPr>
      </w:pPr>
    </w:p>
    <w:p>
      <w:pPr>
        <w:pStyle w:val="2"/>
        <w:rPr>
          <w:rFonts w:cs="Times New Roman" w:asciiTheme="minorEastAsia" w:hAnsiTheme="minorEastAsia" w:eastAsiaTheme="minorEastAsia"/>
        </w:rPr>
      </w:pPr>
    </w:p>
    <w:p>
      <w:pPr>
        <w:pStyle w:val="3"/>
        <w:ind w:firstLine="0"/>
        <w:jc w:val="center"/>
        <w:rPr>
          <w:rFonts w:hint="eastAsia" w:cs="宋体" w:asciiTheme="minorEastAsia" w:hAnsiTheme="minorEastAsia" w:eastAsiaTheme="minorEastAsia"/>
          <w:b/>
          <w:bCs/>
          <w:sz w:val="44"/>
          <w:szCs w:val="44"/>
          <w:lang w:eastAsia="zh-CN"/>
        </w:rPr>
      </w:pPr>
      <w:r>
        <w:rPr>
          <w:rFonts w:hint="eastAsia" w:cs="宋体" w:asciiTheme="minorEastAsia" w:hAnsiTheme="minorEastAsia" w:eastAsiaTheme="minorEastAsia"/>
          <w:b/>
          <w:bCs/>
          <w:sz w:val="44"/>
          <w:szCs w:val="44"/>
          <w:lang w:eastAsia="zh-CN"/>
        </w:rPr>
        <w:t>建设大厦食堂设施设备采购</w:t>
      </w:r>
    </w:p>
    <w:p>
      <w:pPr>
        <w:pStyle w:val="3"/>
        <w:rPr>
          <w:rFonts w:asciiTheme="minorEastAsia" w:hAnsiTheme="minorEastAsia" w:eastAsiaTheme="minorEastAsia"/>
          <w:b/>
          <w:bCs/>
          <w:sz w:val="44"/>
          <w:szCs w:val="44"/>
        </w:rPr>
      </w:pPr>
    </w:p>
    <w:p>
      <w:pPr>
        <w:pStyle w:val="3"/>
        <w:rPr>
          <w:rFonts w:asciiTheme="minorEastAsia" w:hAnsiTheme="minorEastAsia" w:eastAsiaTheme="minorEastAsia"/>
          <w:b/>
          <w:bCs/>
          <w:sz w:val="44"/>
          <w:szCs w:val="44"/>
        </w:rPr>
      </w:pPr>
    </w:p>
    <w:p>
      <w:pPr>
        <w:pStyle w:val="3"/>
        <w:rPr>
          <w:rFonts w:asciiTheme="minorEastAsia" w:hAnsiTheme="minorEastAsia" w:eastAsiaTheme="minorEastAsia"/>
          <w:b/>
          <w:bCs/>
          <w:sz w:val="44"/>
          <w:szCs w:val="44"/>
        </w:rPr>
      </w:pPr>
    </w:p>
    <w:p>
      <w:pPr>
        <w:pStyle w:val="3"/>
        <w:rPr>
          <w:rFonts w:asciiTheme="minorEastAsia" w:hAnsiTheme="minorEastAsia" w:eastAsiaTheme="minorEastAsia"/>
        </w:rPr>
      </w:pPr>
    </w:p>
    <w:p>
      <w:pPr>
        <w:spacing w:line="360" w:lineRule="auto"/>
        <w:jc w:val="center"/>
        <w:rPr>
          <w:rFonts w:asciiTheme="minorEastAsia" w:hAnsiTheme="minorEastAsia" w:eastAsiaTheme="minorEastAsia"/>
          <w:b/>
          <w:bCs/>
          <w:sz w:val="24"/>
          <w:szCs w:val="24"/>
        </w:rPr>
      </w:pPr>
      <w:r>
        <w:rPr>
          <w:rFonts w:hint="eastAsia" w:cs="宋体" w:asciiTheme="minorEastAsia" w:hAnsiTheme="minorEastAsia" w:eastAsiaTheme="minorEastAsia"/>
          <w:b/>
          <w:bCs/>
          <w:sz w:val="72"/>
          <w:szCs w:val="72"/>
        </w:rPr>
        <w:t>询价文件</w:t>
      </w:r>
    </w:p>
    <w:p>
      <w:pPr>
        <w:spacing w:line="360" w:lineRule="auto"/>
        <w:jc w:val="center"/>
        <w:rPr>
          <w:rFonts w:asciiTheme="minorEastAsia" w:hAnsiTheme="minorEastAsia" w:eastAsiaTheme="minorEastAsia"/>
          <w:b/>
          <w:bCs/>
          <w:sz w:val="24"/>
          <w:szCs w:val="24"/>
        </w:rPr>
      </w:pPr>
    </w:p>
    <w:p>
      <w:pPr>
        <w:snapToGrid w:val="0"/>
        <w:spacing w:line="360" w:lineRule="auto"/>
        <w:jc w:val="center"/>
        <w:rPr>
          <w:rFonts w:asciiTheme="minorEastAsia" w:hAnsiTheme="minorEastAsia" w:eastAsiaTheme="minorEastAsia"/>
          <w:sz w:val="30"/>
          <w:szCs w:val="30"/>
          <w:u w:val="single"/>
        </w:rPr>
      </w:pPr>
      <w:r>
        <w:rPr>
          <w:rFonts w:hint="eastAsia" w:cs="宋体" w:asciiTheme="minorEastAsia" w:hAnsiTheme="minorEastAsia" w:eastAsiaTheme="minorEastAsia"/>
          <w:sz w:val="30"/>
          <w:szCs w:val="30"/>
        </w:rPr>
        <w:t>项目编号：SXMC2023227</w:t>
      </w:r>
    </w:p>
    <w:p>
      <w:pPr>
        <w:snapToGrid w:val="0"/>
        <w:spacing w:line="360" w:lineRule="auto"/>
        <w:ind w:firstLine="2301" w:firstLineChars="767"/>
        <w:jc w:val="left"/>
        <w:rPr>
          <w:rFonts w:asciiTheme="minorEastAsia" w:hAnsiTheme="minorEastAsia" w:eastAsiaTheme="minorEastAsia"/>
          <w:sz w:val="30"/>
          <w:szCs w:val="30"/>
        </w:rPr>
      </w:pPr>
    </w:p>
    <w:p>
      <w:pPr>
        <w:spacing w:line="360" w:lineRule="auto"/>
        <w:rPr>
          <w:rFonts w:asciiTheme="minorEastAsia" w:hAnsiTheme="minorEastAsia" w:eastAsiaTheme="minorEastAsia"/>
          <w:sz w:val="28"/>
          <w:szCs w:val="28"/>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napToGrid w:val="0"/>
        <w:spacing w:line="360" w:lineRule="auto"/>
        <w:jc w:val="center"/>
        <w:rPr>
          <w:rFonts w:ascii="宋体" w:hAnsi="宋体" w:cs="宋体"/>
          <w:sz w:val="30"/>
          <w:szCs w:val="30"/>
        </w:rPr>
      </w:pPr>
      <w:r>
        <w:rPr>
          <w:rFonts w:hint="eastAsia" w:ascii="宋体" w:hAnsi="宋体" w:cs="宋体"/>
          <w:sz w:val="30"/>
          <w:szCs w:val="30"/>
        </w:rPr>
        <w:t>采购人：</w:t>
      </w:r>
      <w:r>
        <w:rPr>
          <w:rFonts w:hint="eastAsia" w:ascii="宋体" w:hAnsi="宋体" w:cs="宋体"/>
          <w:sz w:val="30"/>
          <w:szCs w:val="30"/>
          <w:lang w:eastAsia="zh-CN"/>
        </w:rPr>
        <w:t>绍兴市上虞</w:t>
      </w:r>
      <w:r>
        <w:rPr>
          <w:rFonts w:hint="eastAsia" w:ascii="宋体" w:hAnsi="宋体" w:cs="宋体"/>
          <w:sz w:val="30"/>
          <w:szCs w:val="30"/>
          <w:lang w:val="en-US" w:eastAsia="zh-CN"/>
        </w:rPr>
        <w:t>城市建设集团</w:t>
      </w:r>
      <w:r>
        <w:rPr>
          <w:rFonts w:hint="eastAsia" w:ascii="宋体" w:hAnsi="宋体" w:cs="宋体"/>
          <w:sz w:val="30"/>
          <w:szCs w:val="30"/>
          <w:lang w:eastAsia="zh-CN"/>
        </w:rPr>
        <w:t>有限公司</w:t>
      </w:r>
      <w:r>
        <w:rPr>
          <w:rFonts w:hint="eastAsia" w:ascii="宋体" w:hAnsi="宋体" w:cs="宋体"/>
          <w:sz w:val="30"/>
          <w:szCs w:val="30"/>
        </w:rPr>
        <w:t xml:space="preserve">  </w:t>
      </w:r>
    </w:p>
    <w:p>
      <w:pPr>
        <w:snapToGrid w:val="0"/>
        <w:spacing w:line="360" w:lineRule="auto"/>
        <w:jc w:val="center"/>
        <w:rPr>
          <w:rFonts w:ascii="宋体" w:hAnsi="宋体" w:cs="宋体"/>
          <w:sz w:val="30"/>
          <w:szCs w:val="30"/>
        </w:rPr>
      </w:pPr>
      <w:r>
        <w:rPr>
          <w:rFonts w:hint="eastAsia" w:ascii="宋体" w:hAnsi="宋体" w:cs="宋体"/>
          <w:sz w:val="30"/>
          <w:szCs w:val="30"/>
        </w:rPr>
        <w:t>采购代理机构：绍兴明晨建设项目管理有限公司</w:t>
      </w:r>
    </w:p>
    <w:p>
      <w:pPr>
        <w:jc w:val="center"/>
        <w:rPr>
          <w:rFonts w:ascii="宋体" w:hAnsi="宋体" w:cs="宋体"/>
          <w:sz w:val="30"/>
          <w:szCs w:val="30"/>
        </w:rPr>
        <w:sectPr>
          <w:pgSz w:w="11906" w:h="16838"/>
          <w:pgMar w:top="1440" w:right="1080" w:bottom="1440" w:left="1080" w:header="851" w:footer="992" w:gutter="0"/>
          <w:cols w:space="425" w:num="1"/>
          <w:docGrid w:type="lines" w:linePitch="312" w:charSpace="0"/>
        </w:sectPr>
      </w:pPr>
      <w:r>
        <w:rPr>
          <w:rFonts w:hint="eastAsia" w:ascii="宋体" w:hAnsi="宋体" w:cs="宋体"/>
          <w:sz w:val="30"/>
          <w:szCs w:val="30"/>
        </w:rPr>
        <w:t>二0二三年五月</w:t>
      </w:r>
    </w:p>
    <w:p>
      <w:pPr>
        <w:spacing w:line="360" w:lineRule="auto"/>
        <w:jc w:val="center"/>
        <w:rPr>
          <w:rFonts w:ascii="宋体" w:hAnsi="宋体" w:cs="宋体"/>
          <w:sz w:val="30"/>
          <w:szCs w:val="30"/>
        </w:rPr>
      </w:pPr>
      <w:r>
        <w:rPr>
          <w:rFonts w:hint="eastAsia" w:ascii="宋体" w:hAnsi="宋体" w:cs="宋体"/>
          <w:sz w:val="30"/>
          <w:szCs w:val="30"/>
        </w:rPr>
        <w:t>目录</w:t>
      </w:r>
    </w:p>
    <w:p>
      <w:pPr>
        <w:pStyle w:val="20"/>
        <w:tabs>
          <w:tab w:val="right" w:leader="dot" w:pos="8296"/>
        </w:tabs>
        <w:spacing w:line="480" w:lineRule="auto"/>
        <w:rPr>
          <w:rFonts w:asciiTheme="minorHAnsi" w:hAnsiTheme="minorHAnsi" w:eastAsiaTheme="minorEastAsia" w:cstheme="minorBidi"/>
          <w:kern w:val="2"/>
          <w:sz w:val="21"/>
          <w:szCs w:val="22"/>
        </w:rPr>
      </w:pPr>
      <w:r>
        <w:rPr>
          <w:rFonts w:hint="eastAsia" w:cs="宋体" w:asciiTheme="minorEastAsia" w:hAnsiTheme="minorEastAsia" w:eastAsiaTheme="minorEastAsia"/>
          <w:sz w:val="24"/>
          <w:szCs w:val="24"/>
        </w:rPr>
        <w:fldChar w:fldCharType="begin"/>
      </w:r>
      <w:r>
        <w:rPr>
          <w:rFonts w:hint="eastAsia" w:cs="宋体" w:asciiTheme="minorEastAsia" w:hAnsiTheme="minorEastAsia" w:eastAsiaTheme="minorEastAsia"/>
          <w:sz w:val="24"/>
          <w:szCs w:val="24"/>
        </w:rPr>
        <w:instrText xml:space="preserve">TOC \o "1-3" \h \u </w:instrText>
      </w:r>
      <w:r>
        <w:rPr>
          <w:rFonts w:hint="eastAsia" w:cs="宋体" w:asciiTheme="minorEastAsia" w:hAnsiTheme="minorEastAsia" w:eastAsiaTheme="minorEastAsia"/>
          <w:sz w:val="24"/>
          <w:szCs w:val="24"/>
        </w:rPr>
        <w:fldChar w:fldCharType="separate"/>
      </w:r>
      <w:r>
        <w:fldChar w:fldCharType="begin"/>
      </w:r>
      <w:r>
        <w:instrText xml:space="preserve"> HYPERLINK \l "_Toc110244145" </w:instrText>
      </w:r>
      <w:r>
        <w:fldChar w:fldCharType="separate"/>
      </w:r>
      <w:r>
        <w:rPr>
          <w:rStyle w:val="31"/>
          <w:rFonts w:hint="eastAsia" w:cs="宋体" w:asciiTheme="minorEastAsia" w:hAnsiTheme="minorEastAsia"/>
          <w:color w:val="auto"/>
        </w:rPr>
        <w:t>第一部分询价公告</w:t>
      </w:r>
      <w:r>
        <w:tab/>
      </w:r>
      <w:r>
        <w:fldChar w:fldCharType="begin"/>
      </w:r>
      <w:r>
        <w:instrText xml:space="preserve"> PAGEREF _Toc110244145 \h </w:instrText>
      </w:r>
      <w:r>
        <w:fldChar w:fldCharType="separate"/>
      </w:r>
      <w:r>
        <w:t>2</w:t>
      </w:r>
      <w:r>
        <w:fldChar w:fldCharType="end"/>
      </w:r>
      <w:r>
        <w:fldChar w:fldCharType="end"/>
      </w:r>
    </w:p>
    <w:p>
      <w:pPr>
        <w:pStyle w:val="20"/>
        <w:tabs>
          <w:tab w:val="right" w:leader="dot" w:pos="8296"/>
        </w:tabs>
        <w:spacing w:line="480" w:lineRule="auto"/>
        <w:rPr>
          <w:rFonts w:asciiTheme="minorHAnsi" w:hAnsiTheme="minorHAnsi" w:eastAsiaTheme="minorEastAsia" w:cstheme="minorBidi"/>
          <w:kern w:val="2"/>
          <w:sz w:val="21"/>
          <w:szCs w:val="22"/>
        </w:rPr>
      </w:pPr>
      <w:r>
        <w:fldChar w:fldCharType="begin"/>
      </w:r>
      <w:r>
        <w:instrText xml:space="preserve"> HYPERLINK \l "_Toc110244146" </w:instrText>
      </w:r>
      <w:r>
        <w:fldChar w:fldCharType="separate"/>
      </w:r>
      <w:r>
        <w:rPr>
          <w:rStyle w:val="31"/>
          <w:rFonts w:hint="eastAsia" w:cs="宋体" w:asciiTheme="minorEastAsia" w:hAnsiTheme="minorEastAsia"/>
          <w:bCs/>
          <w:color w:val="auto"/>
          <w:kern w:val="44"/>
        </w:rPr>
        <w:t>第二部分供应商须知</w:t>
      </w:r>
      <w:r>
        <w:tab/>
      </w:r>
      <w:r>
        <w:fldChar w:fldCharType="begin"/>
      </w:r>
      <w:r>
        <w:instrText xml:space="preserve"> PAGEREF _Toc110244146 \h </w:instrText>
      </w:r>
      <w:r>
        <w:fldChar w:fldCharType="separate"/>
      </w:r>
      <w:r>
        <w:t>6</w:t>
      </w:r>
      <w:r>
        <w:fldChar w:fldCharType="end"/>
      </w:r>
      <w:r>
        <w:fldChar w:fldCharType="end"/>
      </w:r>
    </w:p>
    <w:p>
      <w:pPr>
        <w:pStyle w:val="21"/>
        <w:tabs>
          <w:tab w:val="right" w:leader="dot" w:pos="8296"/>
        </w:tabs>
        <w:spacing w:line="480" w:lineRule="auto"/>
        <w:ind w:left="400"/>
        <w:rPr>
          <w:rFonts w:hint="eastAsia" w:eastAsia="宋体" w:asciiTheme="minorHAnsi" w:hAnsiTheme="minorHAnsi" w:cstheme="minorBidi"/>
          <w:kern w:val="2"/>
          <w:sz w:val="21"/>
          <w:szCs w:val="22"/>
          <w:lang w:eastAsia="zh-CN"/>
        </w:rPr>
      </w:pPr>
      <w:r>
        <w:fldChar w:fldCharType="begin"/>
      </w:r>
      <w:r>
        <w:instrText xml:space="preserve"> HYPERLINK \l "_Toc110244147" </w:instrText>
      </w:r>
      <w:r>
        <w:fldChar w:fldCharType="separate"/>
      </w:r>
      <w:r>
        <w:rPr>
          <w:rStyle w:val="31"/>
          <w:rFonts w:hint="eastAsia" w:asciiTheme="minorEastAsia" w:hAnsiTheme="minorEastAsia"/>
          <w:color w:val="auto"/>
        </w:rPr>
        <w:t>一、 总则</w:t>
      </w:r>
      <w:r>
        <w:tab/>
      </w:r>
      <w:r>
        <w:fldChar w:fldCharType="end"/>
      </w:r>
      <w:r>
        <w:rPr>
          <w:rFonts w:hint="eastAsia"/>
          <w:lang w:val="en-US" w:eastAsia="zh-CN"/>
        </w:rPr>
        <w:t>9</w:t>
      </w:r>
    </w:p>
    <w:p>
      <w:pPr>
        <w:pStyle w:val="21"/>
        <w:tabs>
          <w:tab w:val="right" w:leader="dot" w:pos="8296"/>
        </w:tabs>
        <w:spacing w:line="480" w:lineRule="auto"/>
        <w:ind w:left="400"/>
        <w:rPr>
          <w:rFonts w:hint="eastAsia" w:eastAsia="宋体" w:asciiTheme="minorHAnsi" w:hAnsiTheme="minorHAnsi" w:cstheme="minorBidi"/>
          <w:kern w:val="2"/>
          <w:sz w:val="21"/>
          <w:szCs w:val="22"/>
          <w:lang w:eastAsia="zh-CN"/>
        </w:rPr>
      </w:pPr>
      <w:r>
        <w:fldChar w:fldCharType="begin"/>
      </w:r>
      <w:r>
        <w:instrText xml:space="preserve"> HYPERLINK \l "_Toc110244148" </w:instrText>
      </w:r>
      <w:r>
        <w:fldChar w:fldCharType="separate"/>
      </w:r>
      <w:r>
        <w:rPr>
          <w:rStyle w:val="31"/>
          <w:rFonts w:hint="eastAsia" w:asciiTheme="minorEastAsia" w:hAnsiTheme="minorEastAsia"/>
          <w:color w:val="auto"/>
        </w:rPr>
        <w:t>二、 询价文件</w:t>
      </w:r>
      <w:r>
        <w:tab/>
      </w:r>
      <w:r>
        <w:fldChar w:fldCharType="end"/>
      </w:r>
      <w:r>
        <w:rPr>
          <w:rFonts w:hint="eastAsia"/>
          <w:lang w:val="en-US" w:eastAsia="zh-CN"/>
        </w:rPr>
        <w:t>9</w:t>
      </w:r>
    </w:p>
    <w:p>
      <w:pPr>
        <w:pStyle w:val="21"/>
        <w:tabs>
          <w:tab w:val="right" w:leader="dot" w:pos="8296"/>
        </w:tabs>
        <w:spacing w:line="480" w:lineRule="auto"/>
        <w:ind w:left="400"/>
        <w:rPr>
          <w:rFonts w:hint="default" w:eastAsia="宋体" w:asciiTheme="minorHAnsi" w:hAnsiTheme="minorHAnsi" w:cstheme="minorBidi"/>
          <w:kern w:val="2"/>
          <w:sz w:val="21"/>
          <w:szCs w:val="22"/>
          <w:lang w:val="en-US" w:eastAsia="zh-CN"/>
        </w:rPr>
      </w:pPr>
      <w:r>
        <w:fldChar w:fldCharType="begin"/>
      </w:r>
      <w:r>
        <w:instrText xml:space="preserve"> HYPERLINK \l "_Toc110244149" </w:instrText>
      </w:r>
      <w:r>
        <w:fldChar w:fldCharType="separate"/>
      </w:r>
      <w:r>
        <w:rPr>
          <w:rStyle w:val="31"/>
          <w:rFonts w:hint="eastAsia" w:asciiTheme="minorEastAsia" w:hAnsiTheme="minorEastAsia"/>
          <w:color w:val="auto"/>
        </w:rPr>
        <w:t>三、 询价响应文件的编写</w:t>
      </w:r>
      <w:r>
        <w:tab/>
      </w:r>
      <w:r>
        <w:fldChar w:fldCharType="end"/>
      </w:r>
      <w:r>
        <w:rPr>
          <w:rFonts w:hint="eastAsia"/>
          <w:lang w:val="en-US" w:eastAsia="zh-CN"/>
        </w:rPr>
        <w:t>10</w:t>
      </w:r>
    </w:p>
    <w:p>
      <w:pPr>
        <w:pStyle w:val="21"/>
        <w:tabs>
          <w:tab w:val="right" w:leader="dot" w:pos="8296"/>
        </w:tabs>
        <w:spacing w:line="480" w:lineRule="auto"/>
        <w:ind w:left="400"/>
        <w:rPr>
          <w:rFonts w:hint="default" w:eastAsia="宋体" w:asciiTheme="minorHAnsi" w:hAnsiTheme="minorHAnsi" w:cstheme="minorBidi"/>
          <w:kern w:val="2"/>
          <w:sz w:val="21"/>
          <w:szCs w:val="22"/>
          <w:lang w:val="en-US" w:eastAsia="zh-CN"/>
        </w:rPr>
      </w:pPr>
      <w:r>
        <w:fldChar w:fldCharType="begin"/>
      </w:r>
      <w:r>
        <w:instrText xml:space="preserve"> HYPERLINK \l "_Toc110244150" </w:instrText>
      </w:r>
      <w:r>
        <w:fldChar w:fldCharType="separate"/>
      </w:r>
      <w:r>
        <w:rPr>
          <w:rStyle w:val="31"/>
          <w:rFonts w:hint="eastAsia" w:asciiTheme="minorEastAsia" w:hAnsiTheme="minorEastAsia"/>
          <w:color w:val="auto"/>
        </w:rPr>
        <w:t>四、 响应文件的递交</w:t>
      </w:r>
      <w:r>
        <w:tab/>
      </w:r>
      <w:r>
        <w:fldChar w:fldCharType="end"/>
      </w:r>
      <w:r>
        <w:rPr>
          <w:rFonts w:hint="eastAsia"/>
          <w:lang w:val="en-US" w:eastAsia="zh-CN"/>
        </w:rPr>
        <w:t>13</w:t>
      </w:r>
    </w:p>
    <w:p>
      <w:pPr>
        <w:pStyle w:val="21"/>
        <w:tabs>
          <w:tab w:val="right" w:leader="dot" w:pos="8296"/>
        </w:tabs>
        <w:spacing w:line="480" w:lineRule="auto"/>
        <w:ind w:left="400"/>
        <w:rPr>
          <w:rFonts w:hint="default" w:eastAsia="宋体" w:asciiTheme="minorHAnsi" w:hAnsiTheme="minorHAnsi" w:cstheme="minorBidi"/>
          <w:kern w:val="2"/>
          <w:sz w:val="21"/>
          <w:szCs w:val="22"/>
          <w:lang w:val="en-US" w:eastAsia="zh-CN"/>
        </w:rPr>
      </w:pPr>
      <w:r>
        <w:fldChar w:fldCharType="begin"/>
      </w:r>
      <w:r>
        <w:instrText xml:space="preserve"> HYPERLINK \l "_Toc110244151" </w:instrText>
      </w:r>
      <w:r>
        <w:fldChar w:fldCharType="separate"/>
      </w:r>
      <w:r>
        <w:rPr>
          <w:rStyle w:val="31"/>
          <w:rFonts w:hint="eastAsia" w:asciiTheme="minorEastAsia" w:hAnsiTheme="minorEastAsia"/>
          <w:color w:val="auto"/>
        </w:rPr>
        <w:t>五、 询价无效的情形</w:t>
      </w:r>
      <w:r>
        <w:tab/>
      </w:r>
      <w:r>
        <w:fldChar w:fldCharType="end"/>
      </w:r>
      <w:r>
        <w:rPr>
          <w:rFonts w:hint="eastAsia"/>
          <w:lang w:val="en-US" w:eastAsia="zh-CN"/>
        </w:rPr>
        <w:t>14</w:t>
      </w:r>
    </w:p>
    <w:p>
      <w:pPr>
        <w:pStyle w:val="21"/>
        <w:tabs>
          <w:tab w:val="right" w:leader="dot" w:pos="8296"/>
        </w:tabs>
        <w:spacing w:line="480" w:lineRule="auto"/>
        <w:ind w:left="400"/>
        <w:rPr>
          <w:rFonts w:hint="default" w:eastAsia="宋体" w:asciiTheme="minorHAnsi" w:hAnsiTheme="minorHAnsi" w:cstheme="minorBidi"/>
          <w:kern w:val="2"/>
          <w:sz w:val="21"/>
          <w:szCs w:val="22"/>
          <w:lang w:val="en-US" w:eastAsia="zh-CN"/>
        </w:rPr>
      </w:pPr>
      <w:r>
        <w:fldChar w:fldCharType="begin"/>
      </w:r>
      <w:r>
        <w:instrText xml:space="preserve"> HYPERLINK \l "_Toc110244152" </w:instrText>
      </w:r>
      <w:r>
        <w:fldChar w:fldCharType="separate"/>
      </w:r>
      <w:r>
        <w:rPr>
          <w:rStyle w:val="31"/>
          <w:rFonts w:hint="eastAsia" w:asciiTheme="minorEastAsia" w:hAnsiTheme="minorEastAsia"/>
          <w:color w:val="auto"/>
        </w:rPr>
        <w:t>六、 采购中止的情形</w:t>
      </w:r>
      <w:r>
        <w:tab/>
      </w:r>
      <w:r>
        <w:fldChar w:fldCharType="end"/>
      </w:r>
      <w:r>
        <w:rPr>
          <w:rFonts w:hint="eastAsia"/>
          <w:lang w:val="en-US" w:eastAsia="zh-CN"/>
        </w:rPr>
        <w:t>15</w:t>
      </w:r>
    </w:p>
    <w:p>
      <w:pPr>
        <w:pStyle w:val="21"/>
        <w:tabs>
          <w:tab w:val="right" w:leader="dot" w:pos="8296"/>
        </w:tabs>
        <w:spacing w:line="480" w:lineRule="auto"/>
        <w:ind w:left="400"/>
        <w:rPr>
          <w:rFonts w:hint="default" w:eastAsia="宋体" w:asciiTheme="minorHAnsi" w:hAnsiTheme="minorHAnsi" w:cstheme="minorBidi"/>
          <w:kern w:val="2"/>
          <w:sz w:val="21"/>
          <w:szCs w:val="22"/>
          <w:lang w:val="en-US" w:eastAsia="zh-CN"/>
        </w:rPr>
      </w:pPr>
      <w:r>
        <w:fldChar w:fldCharType="begin"/>
      </w:r>
      <w:r>
        <w:instrText xml:space="preserve"> HYPERLINK \l "_Toc110244153" </w:instrText>
      </w:r>
      <w:r>
        <w:fldChar w:fldCharType="separate"/>
      </w:r>
      <w:r>
        <w:rPr>
          <w:rStyle w:val="31"/>
          <w:rFonts w:hint="eastAsia" w:asciiTheme="minorEastAsia" w:hAnsiTheme="minorEastAsia"/>
          <w:color w:val="auto"/>
        </w:rPr>
        <w:t>七、 授予合同</w:t>
      </w:r>
      <w:r>
        <w:tab/>
      </w:r>
      <w:r>
        <w:fldChar w:fldCharType="end"/>
      </w:r>
      <w:r>
        <w:rPr>
          <w:rFonts w:hint="eastAsia"/>
          <w:lang w:val="en-US" w:eastAsia="zh-CN"/>
        </w:rPr>
        <w:t>15</w:t>
      </w:r>
    </w:p>
    <w:p>
      <w:pPr>
        <w:pStyle w:val="20"/>
        <w:tabs>
          <w:tab w:val="right" w:leader="dot" w:pos="8296"/>
        </w:tabs>
        <w:spacing w:line="480" w:lineRule="auto"/>
        <w:rPr>
          <w:rFonts w:hint="default" w:eastAsia="宋体" w:asciiTheme="minorHAnsi" w:hAnsiTheme="minorHAnsi" w:cstheme="minorBidi"/>
          <w:kern w:val="2"/>
          <w:sz w:val="21"/>
          <w:szCs w:val="22"/>
          <w:lang w:val="en-US" w:eastAsia="zh-CN"/>
        </w:rPr>
      </w:pPr>
      <w:r>
        <w:fldChar w:fldCharType="begin"/>
      </w:r>
      <w:r>
        <w:instrText xml:space="preserve"> HYPERLINK \l "_Toc110244154" </w:instrText>
      </w:r>
      <w:r>
        <w:fldChar w:fldCharType="separate"/>
      </w:r>
      <w:r>
        <w:rPr>
          <w:rStyle w:val="31"/>
          <w:rFonts w:hint="eastAsia" w:asciiTheme="minorEastAsia" w:hAnsiTheme="minorEastAsia"/>
          <w:color w:val="auto"/>
        </w:rPr>
        <w:t>第三部分</w:t>
      </w:r>
      <w:r>
        <w:rPr>
          <w:rStyle w:val="31"/>
          <w:rFonts w:hint="eastAsia" w:cs="宋体" w:asciiTheme="minorEastAsia" w:hAnsiTheme="minorEastAsia"/>
          <w:color w:val="auto"/>
        </w:rPr>
        <w:t>采购内容及要求</w:t>
      </w:r>
      <w:r>
        <w:tab/>
      </w:r>
      <w:r>
        <w:fldChar w:fldCharType="end"/>
      </w:r>
      <w:r>
        <w:rPr>
          <w:rFonts w:hint="eastAsia"/>
          <w:lang w:val="en-US" w:eastAsia="zh-CN"/>
        </w:rPr>
        <w:t>17</w:t>
      </w:r>
    </w:p>
    <w:p>
      <w:pPr>
        <w:pStyle w:val="20"/>
        <w:tabs>
          <w:tab w:val="right" w:leader="dot" w:pos="8296"/>
        </w:tabs>
        <w:spacing w:line="480" w:lineRule="auto"/>
        <w:rPr>
          <w:rFonts w:hint="default" w:eastAsia="宋体" w:asciiTheme="minorHAnsi" w:hAnsiTheme="minorHAnsi" w:cstheme="minorBidi"/>
          <w:kern w:val="2"/>
          <w:sz w:val="21"/>
          <w:szCs w:val="22"/>
          <w:lang w:val="en-US" w:eastAsia="zh-CN"/>
        </w:rPr>
      </w:pPr>
      <w:r>
        <w:fldChar w:fldCharType="begin"/>
      </w:r>
      <w:r>
        <w:instrText xml:space="preserve"> HYPERLINK \l "_Toc110244164" </w:instrText>
      </w:r>
      <w:r>
        <w:fldChar w:fldCharType="separate"/>
      </w:r>
      <w:r>
        <w:rPr>
          <w:rStyle w:val="31"/>
          <w:rFonts w:hint="eastAsia" w:cs="宋体" w:asciiTheme="minorEastAsia" w:hAnsiTheme="minorEastAsia"/>
          <w:color w:val="auto"/>
        </w:rPr>
        <w:t>第四部分询价细则及询价方法</w:t>
      </w:r>
      <w:r>
        <w:tab/>
      </w:r>
      <w:r>
        <w:fldChar w:fldCharType="end"/>
      </w:r>
      <w:r>
        <w:rPr>
          <w:rFonts w:hint="eastAsia"/>
          <w:lang w:val="en-US" w:eastAsia="zh-CN"/>
        </w:rPr>
        <w:t>37</w:t>
      </w:r>
    </w:p>
    <w:p>
      <w:pPr>
        <w:pStyle w:val="21"/>
        <w:tabs>
          <w:tab w:val="right" w:leader="dot" w:pos="8296"/>
        </w:tabs>
        <w:spacing w:line="480" w:lineRule="auto"/>
        <w:ind w:left="400"/>
        <w:rPr>
          <w:rFonts w:hint="default" w:eastAsia="宋体" w:asciiTheme="minorHAnsi" w:hAnsiTheme="minorHAnsi" w:cstheme="minorBidi"/>
          <w:kern w:val="2"/>
          <w:sz w:val="21"/>
          <w:szCs w:val="22"/>
          <w:lang w:val="en-US" w:eastAsia="zh-CN"/>
        </w:rPr>
      </w:pPr>
      <w:r>
        <w:fldChar w:fldCharType="begin"/>
      </w:r>
      <w:r>
        <w:instrText xml:space="preserve"> HYPERLINK \l "_Toc110244165" </w:instrText>
      </w:r>
      <w:r>
        <w:fldChar w:fldCharType="separate"/>
      </w:r>
      <w:r>
        <w:rPr>
          <w:rStyle w:val="31"/>
          <w:rFonts w:hint="eastAsia" w:asciiTheme="minorEastAsia" w:hAnsiTheme="minorEastAsia"/>
          <w:color w:val="auto"/>
        </w:rPr>
        <w:t>一、 询价原则</w:t>
      </w:r>
      <w:r>
        <w:tab/>
      </w:r>
      <w:r>
        <w:fldChar w:fldCharType="end"/>
      </w:r>
      <w:r>
        <w:rPr>
          <w:rFonts w:hint="eastAsia"/>
          <w:lang w:val="en-US" w:eastAsia="zh-CN"/>
        </w:rPr>
        <w:t>37</w:t>
      </w:r>
    </w:p>
    <w:p>
      <w:pPr>
        <w:pStyle w:val="21"/>
        <w:tabs>
          <w:tab w:val="right" w:leader="dot" w:pos="8296"/>
        </w:tabs>
        <w:spacing w:line="480" w:lineRule="auto"/>
        <w:ind w:left="400"/>
        <w:rPr>
          <w:rFonts w:hint="default" w:eastAsia="宋体" w:asciiTheme="minorHAnsi" w:hAnsiTheme="minorHAnsi" w:cstheme="minorBidi"/>
          <w:kern w:val="2"/>
          <w:sz w:val="21"/>
          <w:szCs w:val="22"/>
          <w:lang w:val="en-US" w:eastAsia="zh-CN"/>
        </w:rPr>
      </w:pPr>
      <w:r>
        <w:fldChar w:fldCharType="begin"/>
      </w:r>
      <w:r>
        <w:instrText xml:space="preserve"> HYPERLINK \l "_Toc110244166" </w:instrText>
      </w:r>
      <w:r>
        <w:fldChar w:fldCharType="separate"/>
      </w:r>
      <w:r>
        <w:rPr>
          <w:rStyle w:val="31"/>
          <w:rFonts w:hint="eastAsia" w:asciiTheme="minorEastAsia" w:hAnsiTheme="minorEastAsia"/>
          <w:color w:val="auto"/>
        </w:rPr>
        <w:t>二、 询价程序</w:t>
      </w:r>
      <w:r>
        <w:tab/>
      </w:r>
      <w:r>
        <w:fldChar w:fldCharType="end"/>
      </w:r>
      <w:r>
        <w:rPr>
          <w:rFonts w:hint="eastAsia"/>
          <w:lang w:val="en-US" w:eastAsia="zh-CN"/>
        </w:rPr>
        <w:t>37</w:t>
      </w:r>
    </w:p>
    <w:p>
      <w:pPr>
        <w:pStyle w:val="21"/>
        <w:tabs>
          <w:tab w:val="right" w:leader="dot" w:pos="8296"/>
        </w:tabs>
        <w:spacing w:line="480" w:lineRule="auto"/>
        <w:ind w:left="400"/>
        <w:rPr>
          <w:rFonts w:hint="default" w:eastAsia="宋体" w:asciiTheme="minorHAnsi" w:hAnsiTheme="minorHAnsi" w:cstheme="minorBidi"/>
          <w:kern w:val="2"/>
          <w:sz w:val="21"/>
          <w:szCs w:val="22"/>
          <w:lang w:val="en-US" w:eastAsia="zh-CN"/>
        </w:rPr>
      </w:pPr>
      <w:r>
        <w:fldChar w:fldCharType="begin"/>
      </w:r>
      <w:r>
        <w:instrText xml:space="preserve"> HYPERLINK \l "_Toc110244167" </w:instrText>
      </w:r>
      <w:r>
        <w:fldChar w:fldCharType="separate"/>
      </w:r>
      <w:r>
        <w:rPr>
          <w:rStyle w:val="31"/>
          <w:rFonts w:hint="eastAsia" w:asciiTheme="minorEastAsia" w:hAnsiTheme="minorEastAsia"/>
          <w:color w:val="auto"/>
        </w:rPr>
        <w:t>三、 注意事项</w:t>
      </w:r>
      <w:r>
        <w:tab/>
      </w:r>
      <w:r>
        <w:fldChar w:fldCharType="end"/>
      </w:r>
      <w:r>
        <w:rPr>
          <w:rFonts w:hint="eastAsia"/>
          <w:lang w:val="en-US" w:eastAsia="zh-CN"/>
        </w:rPr>
        <w:t>39</w:t>
      </w:r>
    </w:p>
    <w:p>
      <w:pPr>
        <w:pStyle w:val="21"/>
        <w:tabs>
          <w:tab w:val="right" w:leader="dot" w:pos="8296"/>
        </w:tabs>
        <w:spacing w:line="480" w:lineRule="auto"/>
        <w:ind w:left="400"/>
        <w:rPr>
          <w:rFonts w:hint="default" w:eastAsia="宋体" w:asciiTheme="minorHAnsi" w:hAnsiTheme="minorHAnsi" w:cstheme="minorBidi"/>
          <w:kern w:val="2"/>
          <w:sz w:val="21"/>
          <w:szCs w:val="22"/>
          <w:lang w:val="en-US" w:eastAsia="zh-CN"/>
        </w:rPr>
      </w:pPr>
      <w:r>
        <w:fldChar w:fldCharType="begin"/>
      </w:r>
      <w:r>
        <w:instrText xml:space="preserve"> HYPERLINK \l "_Toc110244168" </w:instrText>
      </w:r>
      <w:r>
        <w:fldChar w:fldCharType="separate"/>
      </w:r>
      <w:r>
        <w:rPr>
          <w:rStyle w:val="31"/>
          <w:rFonts w:hint="eastAsia" w:asciiTheme="minorEastAsia" w:hAnsiTheme="minorEastAsia"/>
          <w:color w:val="auto"/>
        </w:rPr>
        <w:t>四、 评分细则</w:t>
      </w:r>
      <w:r>
        <w:tab/>
      </w:r>
      <w:r>
        <w:fldChar w:fldCharType="end"/>
      </w:r>
      <w:r>
        <w:rPr>
          <w:rFonts w:hint="eastAsia"/>
          <w:lang w:val="en-US" w:eastAsia="zh-CN"/>
        </w:rPr>
        <w:t>39</w:t>
      </w:r>
    </w:p>
    <w:p>
      <w:pPr>
        <w:pStyle w:val="20"/>
        <w:tabs>
          <w:tab w:val="right" w:leader="dot" w:pos="8296"/>
        </w:tabs>
        <w:spacing w:line="480" w:lineRule="auto"/>
        <w:rPr>
          <w:rFonts w:hint="default" w:eastAsia="宋体" w:asciiTheme="minorHAnsi" w:hAnsiTheme="minorHAnsi" w:cstheme="minorBidi"/>
          <w:kern w:val="2"/>
          <w:sz w:val="21"/>
          <w:szCs w:val="22"/>
          <w:lang w:val="en-US" w:eastAsia="zh-CN"/>
        </w:rPr>
      </w:pPr>
      <w:r>
        <w:fldChar w:fldCharType="begin"/>
      </w:r>
      <w:r>
        <w:instrText xml:space="preserve"> HYPERLINK \l "_Toc110244169" </w:instrText>
      </w:r>
      <w:r>
        <w:fldChar w:fldCharType="separate"/>
      </w:r>
      <w:r>
        <w:rPr>
          <w:rStyle w:val="31"/>
          <w:rFonts w:hint="eastAsia" w:cs="宋体" w:asciiTheme="minorEastAsia" w:hAnsiTheme="minorEastAsia"/>
          <w:color w:val="auto"/>
        </w:rPr>
        <w:t>第五部分采购合同</w:t>
      </w:r>
      <w:r>
        <w:tab/>
      </w:r>
      <w:r>
        <w:fldChar w:fldCharType="end"/>
      </w:r>
      <w:r>
        <w:rPr>
          <w:rFonts w:hint="eastAsia"/>
          <w:lang w:val="en-US" w:eastAsia="zh-CN"/>
        </w:rPr>
        <w:t>41</w:t>
      </w:r>
    </w:p>
    <w:p>
      <w:pPr>
        <w:pStyle w:val="20"/>
        <w:tabs>
          <w:tab w:val="right" w:leader="dot" w:pos="8296"/>
        </w:tabs>
        <w:spacing w:line="480" w:lineRule="auto"/>
        <w:rPr>
          <w:rFonts w:hint="default" w:eastAsia="宋体" w:asciiTheme="minorHAnsi" w:hAnsiTheme="minorHAnsi" w:cstheme="minorBidi"/>
          <w:kern w:val="2"/>
          <w:sz w:val="21"/>
          <w:szCs w:val="22"/>
          <w:lang w:val="en-US" w:eastAsia="zh-CN"/>
        </w:rPr>
      </w:pPr>
      <w:r>
        <w:fldChar w:fldCharType="begin"/>
      </w:r>
      <w:r>
        <w:instrText xml:space="preserve"> HYPERLINK \l "_Toc110244180" </w:instrText>
      </w:r>
      <w:r>
        <w:fldChar w:fldCharType="separate"/>
      </w:r>
      <w:r>
        <w:rPr>
          <w:rStyle w:val="31"/>
          <w:rFonts w:hint="eastAsia" w:cs="宋体" w:asciiTheme="minorEastAsia" w:hAnsiTheme="minorEastAsia"/>
          <w:color w:val="auto"/>
        </w:rPr>
        <w:t>第六部分应提交的有关格式范例</w:t>
      </w:r>
      <w:r>
        <w:tab/>
      </w:r>
      <w:r>
        <w:fldChar w:fldCharType="end"/>
      </w:r>
      <w:r>
        <w:rPr>
          <w:rFonts w:hint="eastAsia"/>
          <w:lang w:val="en-US" w:eastAsia="zh-CN"/>
        </w:rPr>
        <w:t>47</w:t>
      </w:r>
    </w:p>
    <w:p>
      <w:pPr>
        <w:pStyle w:val="2"/>
        <w:spacing w:line="360" w:lineRule="auto"/>
        <w:rPr>
          <w:rFonts w:cs="Times New Roman" w:asciiTheme="minorEastAsia" w:hAnsiTheme="minorEastAsia" w:eastAsiaTheme="minorEastAsia"/>
        </w:rPr>
      </w:pPr>
      <w:r>
        <w:rPr>
          <w:rFonts w:hint="eastAsia" w:asciiTheme="minorEastAsia" w:hAnsiTheme="minorEastAsia" w:eastAsiaTheme="minorEastAsia"/>
          <w:szCs w:val="24"/>
        </w:rPr>
        <w:fldChar w:fldCharType="end"/>
      </w:r>
    </w:p>
    <w:p>
      <w:pPr>
        <w:pStyle w:val="2"/>
        <w:spacing w:line="360" w:lineRule="auto"/>
        <w:rPr>
          <w:rFonts w:cs="Times New Roman"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tabs>
          <w:tab w:val="left" w:pos="3148"/>
        </w:tabs>
        <w:jc w:val="left"/>
        <w:rPr>
          <w:rFonts w:asciiTheme="minorEastAsia" w:hAnsiTheme="minorEastAsia" w:eastAsiaTheme="minorEastAsia"/>
        </w:rPr>
        <w:sectPr>
          <w:footerReference r:id="rId3" w:type="default"/>
          <w:pgSz w:w="11906" w:h="16838"/>
          <w:pgMar w:top="1440" w:right="1800" w:bottom="1440" w:left="1800" w:header="851" w:footer="992" w:gutter="0"/>
          <w:pgNumType w:start="1"/>
          <w:cols w:space="425" w:num="1"/>
          <w:docGrid w:type="lines" w:linePitch="312" w:charSpace="0"/>
        </w:sectPr>
      </w:pPr>
    </w:p>
    <w:p>
      <w:pPr>
        <w:pStyle w:val="5"/>
        <w:jc w:val="center"/>
        <w:rPr>
          <w:rFonts w:cs="Times New Roman" w:asciiTheme="minorEastAsia" w:hAnsiTheme="minorEastAsia" w:eastAsiaTheme="minorEastAsia"/>
        </w:rPr>
      </w:pPr>
      <w:bookmarkStart w:id="0" w:name="_Toc31034"/>
      <w:bookmarkStart w:id="1" w:name="_Toc32199"/>
      <w:bookmarkStart w:id="2" w:name="_Toc110244145"/>
      <w:bookmarkStart w:id="3" w:name="_Toc91899870"/>
      <w:bookmarkStart w:id="4" w:name="第二部分"/>
      <w:r>
        <w:rPr>
          <w:rFonts w:hint="eastAsia" w:cs="宋体" w:asciiTheme="minorEastAsia" w:hAnsiTheme="minorEastAsia" w:eastAsiaTheme="minorEastAsia"/>
          <w:sz w:val="36"/>
          <w:szCs w:val="36"/>
        </w:rPr>
        <w:t>第一部分询价公告</w:t>
      </w:r>
      <w:bookmarkEnd w:id="0"/>
      <w:bookmarkEnd w:id="1"/>
      <w:bookmarkEnd w:id="2"/>
    </w:p>
    <w:p>
      <w:pPr>
        <w:adjustRightInd w:val="0"/>
        <w:snapToGrid w:val="0"/>
        <w:spacing w:line="276" w:lineRule="auto"/>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绍兴明晨建设项目管理有限公司关于</w:t>
      </w:r>
      <w:r>
        <w:rPr>
          <w:rFonts w:hint="eastAsia" w:cs="宋体" w:asciiTheme="minorEastAsia" w:hAnsiTheme="minorEastAsia" w:eastAsiaTheme="minorEastAsia"/>
          <w:sz w:val="28"/>
          <w:szCs w:val="28"/>
          <w:lang w:eastAsia="zh-CN"/>
        </w:rPr>
        <w:t>绍兴市上虞</w:t>
      </w:r>
      <w:r>
        <w:rPr>
          <w:rFonts w:hint="eastAsia" w:cs="宋体" w:asciiTheme="minorEastAsia" w:hAnsiTheme="minorEastAsia" w:eastAsiaTheme="minorEastAsia"/>
          <w:sz w:val="28"/>
          <w:szCs w:val="28"/>
          <w:lang w:val="en-US" w:eastAsia="zh-CN"/>
        </w:rPr>
        <w:t>城市建设集团</w:t>
      </w:r>
      <w:r>
        <w:rPr>
          <w:rFonts w:hint="eastAsia" w:cs="宋体" w:asciiTheme="minorEastAsia" w:hAnsiTheme="minorEastAsia" w:eastAsiaTheme="minorEastAsia"/>
          <w:sz w:val="28"/>
          <w:szCs w:val="28"/>
          <w:lang w:eastAsia="zh-CN"/>
        </w:rPr>
        <w:t>有限公司建设大厦食堂设施设备采购</w:t>
      </w:r>
      <w:r>
        <w:rPr>
          <w:rFonts w:hint="eastAsia" w:cs="宋体" w:asciiTheme="minorEastAsia" w:hAnsiTheme="minorEastAsia" w:eastAsiaTheme="minorEastAsia"/>
          <w:sz w:val="28"/>
          <w:szCs w:val="28"/>
        </w:rPr>
        <w:t>的非政府采购询价公告</w:t>
      </w:r>
    </w:p>
    <w:p>
      <w:pPr>
        <w:adjustRightInd w:val="0"/>
        <w:snapToGrid w:val="0"/>
        <w:spacing w:line="276" w:lineRule="auto"/>
        <w:jc w:val="center"/>
        <w:rPr>
          <w:rFonts w:asciiTheme="minorEastAsia" w:hAnsiTheme="minorEastAsia" w:eastAsiaTheme="minorEastAsia"/>
          <w:sz w:val="28"/>
          <w:szCs w:val="28"/>
        </w:rPr>
      </w:pPr>
      <w:r>
        <w:rPr>
          <w:rFonts w:hint="eastAsia" w:cs="宋体" w:asciiTheme="minorEastAsia" w:hAnsiTheme="minorEastAsia" w:eastAsiaTheme="minorEastAsia"/>
          <w:sz w:val="28"/>
          <w:szCs w:val="28"/>
        </w:rPr>
        <w:t>公告日期：</w:t>
      </w:r>
      <w:r>
        <w:rPr>
          <w:rFonts w:cs="宋体" w:asciiTheme="minorEastAsia" w:hAnsiTheme="minorEastAsia" w:eastAsiaTheme="minorEastAsia"/>
          <w:sz w:val="28"/>
          <w:szCs w:val="28"/>
        </w:rPr>
        <w:t>20</w:t>
      </w:r>
      <w:r>
        <w:rPr>
          <w:rFonts w:hint="eastAsia" w:cs="宋体" w:asciiTheme="minorEastAsia" w:hAnsiTheme="minorEastAsia" w:eastAsiaTheme="minorEastAsia"/>
          <w:sz w:val="28"/>
          <w:szCs w:val="28"/>
        </w:rPr>
        <w:t>23</w:t>
      </w:r>
      <w:r>
        <w:rPr>
          <w:rFonts w:hint="eastAsia" w:cs="宋体" w:asciiTheme="minorEastAsia" w:hAnsiTheme="minorEastAsia" w:eastAsiaTheme="minorEastAsia"/>
          <w:color w:val="auto"/>
          <w:sz w:val="28"/>
          <w:szCs w:val="28"/>
        </w:rPr>
        <w:t>年5月</w:t>
      </w:r>
      <w:r>
        <w:rPr>
          <w:rFonts w:hint="eastAsia" w:cs="宋体" w:asciiTheme="minorEastAsia" w:hAnsiTheme="minorEastAsia" w:eastAsiaTheme="minorEastAsia"/>
          <w:color w:val="auto"/>
          <w:sz w:val="28"/>
          <w:szCs w:val="28"/>
          <w:lang w:val="en-US" w:eastAsia="zh-CN"/>
        </w:rPr>
        <w:t>26</w:t>
      </w:r>
      <w:r>
        <w:rPr>
          <w:rFonts w:hint="eastAsia" w:cs="宋体" w:asciiTheme="minorEastAsia" w:hAnsiTheme="minorEastAsia" w:eastAsiaTheme="minorEastAsia"/>
          <w:color w:val="auto"/>
          <w:sz w:val="28"/>
          <w:szCs w:val="28"/>
        </w:rPr>
        <w:t>日</w:t>
      </w:r>
    </w:p>
    <w:p>
      <w:pPr>
        <w:adjustRightInd w:val="0"/>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参照《上虞区区属国有企业货物和服务采购管理办法》等有关规定，</w:t>
      </w:r>
      <w:r>
        <w:rPr>
          <w:rFonts w:hint="eastAsia" w:cs="宋体" w:asciiTheme="minorEastAsia" w:hAnsiTheme="minorEastAsia" w:eastAsiaTheme="minorEastAsia"/>
          <w:sz w:val="24"/>
          <w:szCs w:val="24"/>
          <w:u w:val="single"/>
        </w:rPr>
        <w:t>绍兴明晨建设项目管理有限公司</w:t>
      </w:r>
      <w:r>
        <w:rPr>
          <w:rFonts w:hint="eastAsia" w:cs="宋体" w:asciiTheme="minorEastAsia" w:hAnsiTheme="minorEastAsia" w:eastAsiaTheme="minorEastAsia"/>
          <w:sz w:val="24"/>
          <w:szCs w:val="24"/>
        </w:rPr>
        <w:t>受</w:t>
      </w:r>
      <w:r>
        <w:rPr>
          <w:rFonts w:hint="eastAsia" w:cs="宋体" w:asciiTheme="minorEastAsia" w:hAnsiTheme="minorEastAsia" w:eastAsiaTheme="minorEastAsia"/>
          <w:sz w:val="24"/>
          <w:szCs w:val="24"/>
          <w:u w:val="single"/>
          <w:lang w:eastAsia="zh-CN"/>
        </w:rPr>
        <w:t>绍兴市上虞</w:t>
      </w:r>
      <w:r>
        <w:rPr>
          <w:rFonts w:hint="eastAsia" w:cs="宋体" w:asciiTheme="minorEastAsia" w:hAnsiTheme="minorEastAsia" w:eastAsiaTheme="minorEastAsia"/>
          <w:sz w:val="24"/>
          <w:szCs w:val="24"/>
          <w:u w:val="single"/>
          <w:lang w:val="en-US" w:eastAsia="zh-CN"/>
        </w:rPr>
        <w:t>城市建设集团</w:t>
      </w:r>
      <w:r>
        <w:rPr>
          <w:rFonts w:hint="eastAsia" w:cs="宋体" w:asciiTheme="minorEastAsia" w:hAnsiTheme="minorEastAsia" w:eastAsiaTheme="minorEastAsia"/>
          <w:sz w:val="24"/>
          <w:szCs w:val="24"/>
          <w:u w:val="single"/>
          <w:lang w:eastAsia="zh-CN"/>
        </w:rPr>
        <w:t>有限公司</w:t>
      </w:r>
      <w:r>
        <w:rPr>
          <w:rFonts w:hint="eastAsia" w:cs="宋体" w:asciiTheme="minorEastAsia" w:hAnsiTheme="minorEastAsia" w:eastAsiaTheme="minorEastAsia"/>
          <w:sz w:val="24"/>
          <w:szCs w:val="24"/>
        </w:rPr>
        <w:t>委托，现就</w:t>
      </w:r>
      <w:r>
        <w:rPr>
          <w:rFonts w:hint="eastAsia" w:cs="宋体" w:asciiTheme="minorEastAsia" w:hAnsiTheme="minorEastAsia" w:eastAsiaTheme="minorEastAsia"/>
          <w:sz w:val="24"/>
          <w:szCs w:val="24"/>
          <w:u w:val="single"/>
          <w:lang w:eastAsia="zh-CN"/>
        </w:rPr>
        <w:t>建设大厦食堂设施设备采购</w:t>
      </w:r>
      <w:r>
        <w:rPr>
          <w:rFonts w:hint="eastAsia" w:cs="宋体" w:asciiTheme="minorEastAsia" w:hAnsiTheme="minorEastAsia" w:eastAsiaTheme="minorEastAsia"/>
          <w:sz w:val="24"/>
          <w:szCs w:val="24"/>
        </w:rPr>
        <w:t>进行询价采购，欢迎国内合格的供应商参加本次采购活动。</w:t>
      </w:r>
    </w:p>
    <w:p>
      <w:pPr>
        <w:adjustRightInd w:val="0"/>
        <w:spacing w:line="360" w:lineRule="auto"/>
        <w:ind w:firstLine="480" w:firstLineChars="200"/>
        <w:rPr>
          <w:rFonts w:asciiTheme="minorEastAsia" w:hAnsiTheme="minorEastAsia" w:eastAsiaTheme="minorEastAsia"/>
          <w:sz w:val="24"/>
          <w:szCs w:val="24"/>
          <w:u w:val="single"/>
        </w:rPr>
      </w:pPr>
      <w:r>
        <w:rPr>
          <w:rFonts w:hint="eastAsia" w:cs="宋体" w:asciiTheme="minorEastAsia" w:hAnsiTheme="minorEastAsia" w:eastAsiaTheme="minorEastAsia"/>
          <w:sz w:val="24"/>
          <w:szCs w:val="24"/>
        </w:rPr>
        <w:t>一</w:t>
      </w:r>
      <w:r>
        <w:rPr>
          <w:rFonts w:hint="default" w:cs="宋体" w:asciiTheme="minorEastAsia" w:hAnsiTheme="minorEastAsia" w:eastAsiaTheme="minorEastAsia"/>
          <w:sz w:val="24"/>
          <w:szCs w:val="24"/>
        </w:rPr>
        <w:t>、</w:t>
      </w:r>
      <w:r>
        <w:rPr>
          <w:rFonts w:hint="eastAsia" w:cs="宋体" w:asciiTheme="minorEastAsia" w:hAnsiTheme="minorEastAsia" w:eastAsiaTheme="minorEastAsia"/>
          <w:sz w:val="24"/>
          <w:szCs w:val="24"/>
        </w:rPr>
        <w:t>项目编号：</w:t>
      </w:r>
      <w:r>
        <w:rPr>
          <w:rFonts w:hint="eastAsia" w:cs="宋体" w:asciiTheme="minorEastAsia" w:hAnsiTheme="minorEastAsia" w:eastAsiaTheme="minorEastAsia"/>
          <w:sz w:val="24"/>
          <w:szCs w:val="24"/>
          <w:u w:val="single"/>
        </w:rPr>
        <w:t>SXMC2023227</w:t>
      </w:r>
    </w:p>
    <w:p>
      <w:pPr>
        <w:adjustRightInd w:val="0"/>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二</w:t>
      </w:r>
      <w:r>
        <w:rPr>
          <w:rFonts w:hint="default" w:cs="宋体" w:asciiTheme="minorEastAsia" w:hAnsiTheme="minorEastAsia" w:eastAsiaTheme="minorEastAsia"/>
          <w:sz w:val="24"/>
          <w:szCs w:val="24"/>
        </w:rPr>
        <w:t>、</w:t>
      </w:r>
      <w:r>
        <w:rPr>
          <w:rFonts w:hint="eastAsia" w:cs="宋体" w:asciiTheme="minorEastAsia" w:hAnsiTheme="minorEastAsia" w:eastAsiaTheme="minorEastAsia"/>
          <w:sz w:val="24"/>
          <w:szCs w:val="24"/>
        </w:rPr>
        <w:t>采购组织类型：</w:t>
      </w:r>
      <w:r>
        <w:rPr>
          <w:rFonts w:hint="eastAsia" w:cs="宋体" w:asciiTheme="minorEastAsia" w:hAnsiTheme="minorEastAsia" w:eastAsiaTheme="minorEastAsia"/>
          <w:sz w:val="24"/>
          <w:szCs w:val="24"/>
          <w:u w:val="single"/>
        </w:rPr>
        <w:t>询价</w:t>
      </w:r>
    </w:p>
    <w:p>
      <w:pPr>
        <w:adjustRightInd w:val="0"/>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三</w:t>
      </w:r>
      <w:r>
        <w:rPr>
          <w:rFonts w:hint="default" w:cs="宋体" w:asciiTheme="minorEastAsia" w:hAnsiTheme="minorEastAsia" w:eastAsiaTheme="minorEastAsia"/>
          <w:sz w:val="24"/>
          <w:szCs w:val="24"/>
        </w:rPr>
        <w:t>、</w:t>
      </w:r>
      <w:r>
        <w:rPr>
          <w:rFonts w:hint="eastAsia" w:cs="宋体" w:asciiTheme="minorEastAsia" w:hAnsiTheme="minorEastAsia" w:eastAsiaTheme="minorEastAsia"/>
          <w:sz w:val="24"/>
          <w:szCs w:val="24"/>
        </w:rPr>
        <w:t>项目概况</w:t>
      </w:r>
      <w:r>
        <w:rPr>
          <w:rFonts w:cs="宋体" w:asciiTheme="minorEastAsia" w:hAnsiTheme="minorEastAsia" w:eastAsiaTheme="minorEastAsia"/>
          <w:sz w:val="24"/>
          <w:szCs w:val="24"/>
        </w:rPr>
        <w:t>:</w:t>
      </w:r>
    </w:p>
    <w:tbl>
      <w:tblPr>
        <w:tblStyle w:val="26"/>
        <w:tblW w:w="10223" w:type="dxa"/>
        <w:jc w:val="center"/>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Layout w:type="fixed"/>
        <w:tblCellMar>
          <w:top w:w="0" w:type="dxa"/>
          <w:left w:w="108" w:type="dxa"/>
          <w:bottom w:w="0" w:type="dxa"/>
          <w:right w:w="108" w:type="dxa"/>
        </w:tblCellMar>
      </w:tblPr>
      <w:tblGrid>
        <w:gridCol w:w="763"/>
        <w:gridCol w:w="2850"/>
        <w:gridCol w:w="850"/>
        <w:gridCol w:w="709"/>
        <w:gridCol w:w="992"/>
        <w:gridCol w:w="2254"/>
        <w:gridCol w:w="1026"/>
        <w:gridCol w:w="779"/>
      </w:tblGrid>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977" w:hRule="atLeast"/>
          <w:jc w:val="center"/>
        </w:trPr>
        <w:tc>
          <w:tcPr>
            <w:tcW w:w="763" w:type="dxa"/>
            <w:tcBorders>
              <w:top w:val="single" w:color="000000"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序号</w:t>
            </w:r>
          </w:p>
        </w:tc>
        <w:tc>
          <w:tcPr>
            <w:tcW w:w="2850" w:type="dxa"/>
            <w:tcBorders>
              <w:top w:val="single" w:color="000000"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项目名称</w:t>
            </w:r>
          </w:p>
        </w:tc>
        <w:tc>
          <w:tcPr>
            <w:tcW w:w="850" w:type="dxa"/>
            <w:tcBorders>
              <w:top w:val="single" w:color="000000"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数量</w:t>
            </w:r>
          </w:p>
        </w:tc>
        <w:tc>
          <w:tcPr>
            <w:tcW w:w="709" w:type="dxa"/>
            <w:tcBorders>
              <w:top w:val="single" w:color="000000"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单位</w:t>
            </w:r>
          </w:p>
        </w:tc>
        <w:tc>
          <w:tcPr>
            <w:tcW w:w="992" w:type="dxa"/>
            <w:tcBorders>
              <w:top w:val="single" w:color="000000"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预算金额</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元</w:t>
            </w:r>
            <w:r>
              <w:rPr>
                <w:rFonts w:cs="宋体" w:asciiTheme="minorEastAsia" w:hAnsiTheme="minorEastAsia" w:eastAsiaTheme="minorEastAsia"/>
                <w:sz w:val="24"/>
                <w:szCs w:val="24"/>
              </w:rPr>
              <w:t>)</w:t>
            </w:r>
          </w:p>
        </w:tc>
        <w:tc>
          <w:tcPr>
            <w:tcW w:w="2254" w:type="dxa"/>
            <w:tcBorders>
              <w:top w:val="single" w:color="000000"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简要规格描述或标项基本概况介绍</w:t>
            </w:r>
          </w:p>
        </w:tc>
        <w:tc>
          <w:tcPr>
            <w:tcW w:w="1026" w:type="dxa"/>
            <w:tcBorders>
              <w:top w:val="single" w:color="000000"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最高限价</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元</w:t>
            </w:r>
            <w:r>
              <w:rPr>
                <w:rFonts w:cs="宋体" w:asciiTheme="minorEastAsia" w:hAnsiTheme="minorEastAsia" w:eastAsiaTheme="minorEastAsia"/>
                <w:sz w:val="24"/>
                <w:szCs w:val="24"/>
              </w:rPr>
              <w:t>)</w:t>
            </w:r>
          </w:p>
        </w:tc>
        <w:tc>
          <w:tcPr>
            <w:tcW w:w="779" w:type="dxa"/>
            <w:tcBorders>
              <w:top w:val="single" w:color="000000"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jc w:val="center"/>
        </w:trPr>
        <w:tc>
          <w:tcPr>
            <w:tcW w:w="763" w:type="dxa"/>
            <w:tcBorders>
              <w:bottom w:val="single" w:color="000000" w:sz="4" w:space="0"/>
            </w:tcBorders>
            <w:vAlign w:val="center"/>
          </w:tcPr>
          <w:p>
            <w:pPr>
              <w:adjustRightInd w:val="0"/>
              <w:spacing w:line="360" w:lineRule="auto"/>
              <w:jc w:val="center"/>
              <w:rPr>
                <w:rFonts w:asciiTheme="minorEastAsia" w:hAnsiTheme="minorEastAsia" w:eastAsiaTheme="minorEastAsia"/>
                <w:sz w:val="24"/>
                <w:szCs w:val="24"/>
              </w:rPr>
            </w:pPr>
            <w:r>
              <w:rPr>
                <w:rFonts w:cs="宋体" w:asciiTheme="minorEastAsia" w:hAnsiTheme="minorEastAsia" w:eastAsiaTheme="minorEastAsia"/>
                <w:sz w:val="24"/>
                <w:szCs w:val="24"/>
              </w:rPr>
              <w:t>1</w:t>
            </w:r>
          </w:p>
        </w:tc>
        <w:tc>
          <w:tcPr>
            <w:tcW w:w="2850" w:type="dxa"/>
            <w:tcBorders>
              <w:bottom w:val="single" w:color="000000" w:sz="4" w:space="0"/>
            </w:tcBorders>
            <w:vAlign w:val="center"/>
          </w:tcPr>
          <w:p>
            <w:pPr>
              <w:adjustRightInd w:val="0"/>
              <w:spacing w:line="360" w:lineRule="auto"/>
              <w:jc w:val="center"/>
              <w:rPr>
                <w:rFonts w:hint="eastAsia" w:asciiTheme="minorEastAsia" w:hAnsiTheme="minorEastAsia" w:eastAsiaTheme="minorEastAsia"/>
                <w:sz w:val="24"/>
                <w:szCs w:val="24"/>
                <w:lang w:eastAsia="zh-CN"/>
              </w:rPr>
            </w:pPr>
            <w:r>
              <w:rPr>
                <w:rFonts w:hint="eastAsia"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lang w:eastAsia="zh-CN"/>
              </w:rPr>
              <w:t>建设大厦食堂设施设备采购</w:t>
            </w:r>
          </w:p>
        </w:tc>
        <w:tc>
          <w:tcPr>
            <w:tcW w:w="850" w:type="dxa"/>
            <w:tcBorders>
              <w:bottom w:val="single" w:color="000000"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1</w:t>
            </w:r>
          </w:p>
        </w:tc>
        <w:tc>
          <w:tcPr>
            <w:tcW w:w="709" w:type="dxa"/>
            <w:tcBorders>
              <w:bottom w:val="single" w:color="000000"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cs="宋体" w:asciiTheme="minorEastAsia" w:hAnsiTheme="minorEastAsia" w:eastAsiaTheme="minorEastAsia"/>
                <w:sz w:val="24"/>
                <w:szCs w:val="24"/>
              </w:rPr>
              <w:t>项</w:t>
            </w:r>
          </w:p>
        </w:tc>
        <w:tc>
          <w:tcPr>
            <w:tcW w:w="992" w:type="dxa"/>
            <w:tcBorders>
              <w:bottom w:val="single" w:color="000000" w:sz="4" w:space="0"/>
            </w:tcBorders>
            <w:vAlign w:val="center"/>
          </w:tcPr>
          <w:p>
            <w:pPr>
              <w:widowControl/>
              <w:spacing w:before="100" w:after="100" w:line="312" w:lineRule="auto"/>
              <w:jc w:val="center"/>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eastAsia="zh-CN"/>
              </w:rPr>
              <w:t>650000</w:t>
            </w:r>
          </w:p>
        </w:tc>
        <w:tc>
          <w:tcPr>
            <w:tcW w:w="2254" w:type="dxa"/>
            <w:tcBorders>
              <w:bottom w:val="single" w:color="000000" w:sz="4" w:space="0"/>
            </w:tcBorders>
            <w:vAlign w:val="center"/>
          </w:tcPr>
          <w:p>
            <w:pPr>
              <w:pStyle w:val="15"/>
              <w:snapToGrid w:val="0"/>
              <w:spacing w:before="120" w:after="120" w:line="360" w:lineRule="auto"/>
              <w:jc w:val="center"/>
              <w:rPr>
                <w:rFonts w:cs="Times New Roman"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详见</w:t>
            </w:r>
            <w:r>
              <w:rPr>
                <w:rFonts w:hint="default" w:asciiTheme="minorEastAsia" w:hAnsiTheme="minorEastAsia" w:eastAsiaTheme="minorEastAsia"/>
                <w:color w:val="auto"/>
                <w:sz w:val="24"/>
                <w:szCs w:val="24"/>
              </w:rPr>
              <w:t>询价</w:t>
            </w:r>
            <w:r>
              <w:rPr>
                <w:rFonts w:hint="eastAsia" w:asciiTheme="minorEastAsia" w:hAnsiTheme="minorEastAsia" w:eastAsiaTheme="minorEastAsia"/>
                <w:color w:val="auto"/>
                <w:sz w:val="24"/>
                <w:szCs w:val="24"/>
              </w:rPr>
              <w:t>文件</w:t>
            </w:r>
          </w:p>
        </w:tc>
        <w:tc>
          <w:tcPr>
            <w:tcW w:w="1026" w:type="dxa"/>
            <w:tcBorders>
              <w:bottom w:val="single" w:color="000000" w:sz="4" w:space="0"/>
            </w:tcBorders>
            <w:vAlign w:val="center"/>
          </w:tcPr>
          <w:p>
            <w:pPr>
              <w:adjustRightInd w:val="0"/>
              <w:spacing w:line="360" w:lineRule="auto"/>
              <w:jc w:val="center"/>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lang w:eastAsia="zh-CN"/>
              </w:rPr>
              <w:t>650000</w:t>
            </w:r>
          </w:p>
        </w:tc>
        <w:tc>
          <w:tcPr>
            <w:tcW w:w="779" w:type="dxa"/>
            <w:tcBorders>
              <w:bottom w:val="single" w:color="000000" w:sz="4" w:space="0"/>
            </w:tcBorders>
            <w:vAlign w:val="center"/>
          </w:tcPr>
          <w:p>
            <w:pPr>
              <w:adjustRightInd w:val="0"/>
              <w:spacing w:line="360" w:lineRule="auto"/>
              <w:jc w:val="center"/>
              <w:rPr>
                <w:rFonts w:asciiTheme="minorEastAsia" w:hAnsiTheme="minorEastAsia" w:eastAsiaTheme="minorEastAsia"/>
                <w:sz w:val="24"/>
                <w:szCs w:val="24"/>
              </w:rPr>
            </w:pPr>
          </w:p>
        </w:tc>
      </w:tr>
    </w:tbl>
    <w:p>
      <w:pPr>
        <w:adjustRightInd w:val="0"/>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四</w:t>
      </w:r>
      <w:r>
        <w:rPr>
          <w:rFonts w:hint="default" w:cs="宋体" w:asciiTheme="minorEastAsia" w:hAnsiTheme="minorEastAsia" w:eastAsiaTheme="minorEastAsia"/>
          <w:sz w:val="24"/>
          <w:szCs w:val="24"/>
        </w:rPr>
        <w:t>、</w:t>
      </w:r>
      <w:r>
        <w:rPr>
          <w:rFonts w:hint="eastAsia" w:cs="宋体" w:asciiTheme="minorEastAsia" w:hAnsiTheme="minorEastAsia" w:eastAsiaTheme="minorEastAsia"/>
          <w:sz w:val="24"/>
          <w:szCs w:val="24"/>
        </w:rPr>
        <w:t>合格供应商资格要求</w:t>
      </w:r>
      <w:r>
        <w:rPr>
          <w:rFonts w:cs="宋体" w:asciiTheme="minorEastAsia" w:hAnsiTheme="minorEastAsia" w:eastAsiaTheme="minorEastAsia"/>
          <w:sz w:val="24"/>
          <w:szCs w:val="24"/>
        </w:rPr>
        <w:t>:</w:t>
      </w:r>
    </w:p>
    <w:p>
      <w:pPr>
        <w:numPr>
          <w:ilvl w:val="0"/>
          <w:numId w:val="2"/>
        </w:numPr>
        <w:wordWrap w:val="0"/>
        <w:adjustRightIn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符合《虞国资委〔2021〕42 号》第十八条</w:t>
      </w:r>
    </w:p>
    <w:p>
      <w:pPr>
        <w:wordWrap w:val="0"/>
        <w:adjustRightInd w:val="0"/>
        <w:spacing w:line="360" w:lineRule="auto"/>
        <w:ind w:left="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（1）具有独立承担民事责任能力；</w:t>
      </w:r>
    </w:p>
    <w:p>
      <w:pPr>
        <w:wordWrap w:val="0"/>
        <w:adjustRightInd w:val="0"/>
        <w:spacing w:line="360" w:lineRule="auto"/>
        <w:ind w:left="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（2）具有良好的商业信誉；</w:t>
      </w:r>
    </w:p>
    <w:p>
      <w:pPr>
        <w:wordWrap w:val="0"/>
        <w:adjustRightInd w:val="0"/>
        <w:spacing w:line="360" w:lineRule="auto"/>
        <w:ind w:left="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（3）具有履行合同所必需的设备和专业技术、售后保障等能力；</w:t>
      </w:r>
    </w:p>
    <w:p>
      <w:pPr>
        <w:wordWrap w:val="0"/>
        <w:adjustRightInd w:val="0"/>
        <w:spacing w:line="360" w:lineRule="auto"/>
        <w:ind w:left="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（4）有依法缴纳税收和社会保障资金的良好记录；</w:t>
      </w:r>
    </w:p>
    <w:p>
      <w:pPr>
        <w:wordWrap w:val="0"/>
        <w:adjustRightInd w:val="0"/>
        <w:spacing w:line="360" w:lineRule="auto"/>
        <w:ind w:left="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（5）参加采购活动前三年内，没有重大违法记录、严重失信行为和行贿记录；</w:t>
      </w:r>
    </w:p>
    <w:p>
      <w:pPr>
        <w:wordWrap w:val="0"/>
        <w:adjustRightInd w:val="0"/>
        <w:spacing w:line="360" w:lineRule="auto"/>
        <w:ind w:left="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（6）法律、行政法规规定的其他条件</w:t>
      </w:r>
      <w:r>
        <w:rPr>
          <w:rFonts w:hint="default" w:cs="宋体" w:asciiTheme="minorEastAsia" w:hAnsiTheme="minorEastAsia" w:eastAsiaTheme="minorEastAsia"/>
          <w:sz w:val="24"/>
          <w:szCs w:val="24"/>
        </w:rPr>
        <w:t>。</w:t>
      </w:r>
    </w:p>
    <w:p>
      <w:pPr>
        <w:numPr>
          <w:ilvl w:val="0"/>
          <w:numId w:val="2"/>
        </w:numPr>
        <w:adjustRightInd w:val="0"/>
        <w:spacing w:line="360" w:lineRule="auto"/>
        <w:ind w:firstLine="480" w:firstLineChars="200"/>
        <w:rPr>
          <w:rFonts w:ascii="宋体" w:hAnsi="宋体" w:cs="宋体"/>
          <w:sz w:val="24"/>
        </w:rPr>
      </w:pPr>
      <w:r>
        <w:rPr>
          <w:rFonts w:hint="eastAsia" w:ascii="宋体" w:hAnsi="宋体" w:cs="宋体"/>
          <w:sz w:val="24"/>
        </w:rPr>
        <w:t>允许</w:t>
      </w:r>
      <w:r>
        <w:rPr>
          <w:rFonts w:hint="eastAsia" w:ascii="宋体" w:hAnsi="宋体" w:cs="宋体"/>
          <w:sz w:val="24"/>
          <w:u w:val="single"/>
        </w:rPr>
        <w:t>联合体</w:t>
      </w:r>
      <w:r>
        <w:rPr>
          <w:rFonts w:hint="eastAsia" w:ascii="宋体" w:hAnsi="宋体" w:cs="宋体"/>
          <w:sz w:val="24"/>
        </w:rPr>
        <w:t>投标；</w:t>
      </w:r>
    </w:p>
    <w:p>
      <w:pPr>
        <w:wordWrap w:val="0"/>
        <w:adjustRightInd w:val="0"/>
        <w:spacing w:line="360" w:lineRule="auto"/>
        <w:ind w:firstLine="480" w:firstLineChars="200"/>
        <w:rPr>
          <w:rFonts w:ascii="宋体" w:hAnsi="宋体" w:cs="宋体"/>
          <w:sz w:val="24"/>
        </w:rPr>
      </w:pPr>
      <w:r>
        <w:rPr>
          <w:rFonts w:hint="eastAsia" w:ascii="宋体" w:hAnsi="宋体" w:cs="宋体"/>
          <w:sz w:val="24"/>
        </w:rPr>
        <w:t>联合体成员不得超过2家，且联合体各方不得再以自己名义单独或加入其它联合体对本项目进行投标。联合体中有同类资质的供应商按照联合体分工承担相同工作的，应当按照资质等级较低的供应商确定资质等级。联合体各方应签订联合体投标协议书，明确联合体牵头人和各方权利义务，授权联合体牵头人代表所有联合体成员负责投标和合同实施阶段的主办、协调工作。投标文件递交后，联合体成员不得变更。</w:t>
      </w:r>
    </w:p>
    <w:p>
      <w:pPr>
        <w:wordWrap w:val="0"/>
        <w:adjustRightInd w:val="0"/>
        <w:spacing w:line="360" w:lineRule="auto"/>
        <w:ind w:left="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3.本项目采用资格后审的审查方式，由询价小组负责审查。</w:t>
      </w:r>
    </w:p>
    <w:p>
      <w:pPr>
        <w:adjustRightInd w:val="0"/>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五</w:t>
      </w:r>
      <w:r>
        <w:rPr>
          <w:rFonts w:hint="default" w:cs="宋体" w:asciiTheme="minorEastAsia" w:hAnsiTheme="minorEastAsia" w:eastAsiaTheme="minorEastAsia"/>
          <w:sz w:val="24"/>
          <w:szCs w:val="24"/>
        </w:rPr>
        <w:t>、</w:t>
      </w:r>
      <w:r>
        <w:rPr>
          <w:rFonts w:hint="eastAsia" w:cs="宋体" w:asciiTheme="minorEastAsia" w:hAnsiTheme="minorEastAsia" w:eastAsiaTheme="minorEastAsia"/>
          <w:sz w:val="24"/>
          <w:szCs w:val="24"/>
        </w:rPr>
        <w:t>获取询价文件</w:t>
      </w:r>
    </w:p>
    <w:p>
      <w:pPr>
        <w:numPr>
          <w:ilvl w:val="0"/>
          <w:numId w:val="3"/>
        </w:numPr>
        <w:adjustRightInd w:val="0"/>
        <w:spacing w:line="360" w:lineRule="auto"/>
        <w:ind w:firstLine="480" w:firstLineChars="200"/>
        <w:rPr>
          <w:rFonts w:asciiTheme="minorEastAsia" w:hAnsiTheme="minorEastAsia" w:eastAsiaTheme="minorEastAsia"/>
          <w:sz w:val="24"/>
          <w:szCs w:val="24"/>
        </w:rPr>
      </w:pPr>
      <w:bookmarkStart w:id="5" w:name="报名开始时间1"/>
      <w:r>
        <w:rPr>
          <w:rFonts w:hint="eastAsia" w:cs="宋体" w:asciiTheme="minorEastAsia" w:hAnsiTheme="minorEastAsia" w:eastAsiaTheme="minorEastAsia"/>
          <w:sz w:val="24"/>
          <w:szCs w:val="24"/>
        </w:rPr>
        <w:t>获取询价文件时间</w:t>
      </w:r>
      <w:r>
        <w:rPr>
          <w:rFonts w:cs="宋体" w:asciiTheme="minorEastAsia" w:hAnsiTheme="minorEastAsia" w:eastAsiaTheme="minorEastAsia"/>
          <w:color w:val="auto"/>
          <w:sz w:val="24"/>
          <w:szCs w:val="24"/>
        </w:rPr>
        <w:t>:</w:t>
      </w:r>
      <w:bookmarkEnd w:id="5"/>
      <w:r>
        <w:rPr>
          <w:rFonts w:cs="宋体" w:asciiTheme="minorEastAsia" w:hAnsiTheme="minorEastAsia" w:eastAsiaTheme="minorEastAsia"/>
          <w:color w:val="auto"/>
          <w:sz w:val="24"/>
          <w:szCs w:val="24"/>
          <w:u w:val="single"/>
        </w:rPr>
        <w:t>20</w:t>
      </w:r>
      <w:r>
        <w:rPr>
          <w:rFonts w:hint="eastAsia" w:cs="宋体" w:asciiTheme="minorEastAsia" w:hAnsiTheme="minorEastAsia" w:eastAsiaTheme="minorEastAsia"/>
          <w:color w:val="auto"/>
          <w:sz w:val="24"/>
          <w:szCs w:val="24"/>
          <w:u w:val="single"/>
        </w:rPr>
        <w:t>23年</w:t>
      </w:r>
      <w:r>
        <w:rPr>
          <w:rFonts w:hint="eastAsia" w:cs="宋体" w:asciiTheme="minorEastAsia" w:hAnsiTheme="minorEastAsia" w:eastAsiaTheme="minorEastAsia"/>
          <w:color w:val="auto"/>
          <w:sz w:val="24"/>
          <w:szCs w:val="24"/>
          <w:u w:val="single"/>
          <w:lang w:val="en-US" w:eastAsia="zh-CN"/>
        </w:rPr>
        <w:t>6</w:t>
      </w:r>
      <w:r>
        <w:rPr>
          <w:rFonts w:hint="eastAsia" w:cs="宋体" w:asciiTheme="minorEastAsia" w:hAnsiTheme="minorEastAsia" w:eastAsiaTheme="minorEastAsia"/>
          <w:color w:val="auto"/>
          <w:sz w:val="24"/>
          <w:szCs w:val="24"/>
          <w:u w:val="single"/>
        </w:rPr>
        <w:t xml:space="preserve">月 </w:t>
      </w:r>
      <w:r>
        <w:rPr>
          <w:rFonts w:hint="eastAsia" w:cs="宋体" w:asciiTheme="minorEastAsia" w:hAnsiTheme="minorEastAsia" w:eastAsiaTheme="minorEastAsia"/>
          <w:color w:val="auto"/>
          <w:sz w:val="24"/>
          <w:szCs w:val="24"/>
          <w:u w:val="single"/>
          <w:lang w:val="en-US" w:eastAsia="zh-CN"/>
        </w:rPr>
        <w:t>1</w:t>
      </w:r>
      <w:r>
        <w:rPr>
          <w:rFonts w:hint="eastAsia" w:cs="宋体" w:asciiTheme="minorEastAsia" w:hAnsiTheme="minorEastAsia" w:eastAsiaTheme="minorEastAsia"/>
          <w:color w:val="auto"/>
          <w:sz w:val="24"/>
          <w:szCs w:val="24"/>
          <w:u w:val="single"/>
        </w:rPr>
        <w:t xml:space="preserve"> 日上午09</w:t>
      </w:r>
      <w:r>
        <w:rPr>
          <w:rFonts w:cs="宋体" w:asciiTheme="minorEastAsia" w:hAnsiTheme="minorEastAsia" w:eastAsiaTheme="minorEastAsia"/>
          <w:color w:val="auto"/>
          <w:sz w:val="24"/>
          <w:szCs w:val="24"/>
          <w:u w:val="single"/>
        </w:rPr>
        <w:t>:</w:t>
      </w:r>
      <w:r>
        <w:rPr>
          <w:rFonts w:hint="eastAsia" w:cs="宋体" w:asciiTheme="minorEastAsia" w:hAnsiTheme="minorEastAsia" w:eastAsiaTheme="minorEastAsia"/>
          <w:color w:val="auto"/>
          <w:sz w:val="24"/>
          <w:szCs w:val="24"/>
          <w:u w:val="single"/>
        </w:rPr>
        <w:t>3</w:t>
      </w:r>
      <w:r>
        <w:rPr>
          <w:rFonts w:cs="宋体" w:asciiTheme="minorEastAsia" w:hAnsiTheme="minorEastAsia" w:eastAsiaTheme="minorEastAsia"/>
          <w:color w:val="auto"/>
          <w:sz w:val="24"/>
          <w:szCs w:val="24"/>
          <w:u w:val="single"/>
        </w:rPr>
        <w:t>0</w:t>
      </w:r>
      <w:r>
        <w:rPr>
          <w:rFonts w:hint="eastAsia" w:cs="宋体" w:asciiTheme="minorEastAsia" w:hAnsiTheme="minorEastAsia" w:eastAsiaTheme="minorEastAsia"/>
          <w:sz w:val="24"/>
          <w:szCs w:val="24"/>
        </w:rPr>
        <w:t>之前获取。</w:t>
      </w:r>
    </w:p>
    <w:p>
      <w:pPr>
        <w:numPr>
          <w:ilvl w:val="0"/>
          <w:numId w:val="3"/>
        </w:numPr>
        <w:adjustRightInd w:val="0"/>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获取询价文件方式：供应商登陆政采云平台</w:t>
      </w:r>
      <w:r>
        <w:rPr>
          <w:rFonts w:cs="宋体" w:asciiTheme="minorEastAsia" w:hAnsiTheme="minorEastAsia" w:eastAsiaTheme="minorEastAsia"/>
          <w:sz w:val="24"/>
          <w:szCs w:val="24"/>
        </w:rPr>
        <w:t>http://www.zhengcaiyun.cn/</w:t>
      </w:r>
      <w:r>
        <w:rPr>
          <w:rFonts w:hint="eastAsia" w:cs="宋体" w:asciiTheme="minorEastAsia" w:hAnsiTheme="minorEastAsia" w:eastAsiaTheme="minorEastAsia"/>
          <w:sz w:val="24"/>
          <w:szCs w:val="24"/>
        </w:rPr>
        <w:t>，在线申请获取询价文件（进入“项目采购”应用，在获取采购文件菜单中选择项目，申请获取询价文件）。</w:t>
      </w:r>
    </w:p>
    <w:p>
      <w:pPr>
        <w:numPr>
          <w:ilvl w:val="0"/>
          <w:numId w:val="3"/>
        </w:numPr>
        <w:adjustRightInd w:val="0"/>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提示：</w:t>
      </w:r>
    </w:p>
    <w:p>
      <w:pPr>
        <w:numPr>
          <w:ilvl w:val="0"/>
          <w:numId w:val="4"/>
        </w:numPr>
        <w:adjustRightInd w:val="0"/>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将拒绝接受未获取询价文件供应商的响应文件。</w:t>
      </w:r>
    </w:p>
    <w:p>
      <w:pPr>
        <w:numPr>
          <w:ilvl w:val="0"/>
          <w:numId w:val="4"/>
        </w:numPr>
        <w:adjustRightInd w:val="0"/>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询价文件及更正补充公告请自行登录浙江政府采购网或绍兴市上虞区公共资源交易中心网站，在采购公告页面中下载。</w:t>
      </w:r>
    </w:p>
    <w:p>
      <w:pPr>
        <w:adjustRightIn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六、投标与开标注意事项：</w:t>
      </w:r>
    </w:p>
    <w:p>
      <w:pPr>
        <w:numPr>
          <w:ilvl w:val="0"/>
          <w:numId w:val="5"/>
        </w:numPr>
        <w:adjustRightIn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本项目实行</w:t>
      </w:r>
      <w:r>
        <w:rPr>
          <w:rFonts w:hint="eastAsia" w:cs="宋体" w:asciiTheme="minorEastAsia" w:hAnsiTheme="minorEastAsia" w:eastAsiaTheme="minorEastAsia"/>
          <w:b/>
          <w:bCs/>
          <w:sz w:val="24"/>
          <w:szCs w:val="24"/>
        </w:rPr>
        <w:t>网上投标</w:t>
      </w:r>
      <w:r>
        <w:rPr>
          <w:rFonts w:hint="eastAsia" w:cs="宋体" w:asciiTheme="minorEastAsia" w:hAnsiTheme="minorEastAsia" w:eastAsiaTheme="minorEastAsia"/>
          <w:sz w:val="24"/>
          <w:szCs w:val="24"/>
        </w:rPr>
        <w:t>，采用电子投标文件，若供应商参与投标，自行承担投标一切费用。</w:t>
      </w:r>
    </w:p>
    <w:p>
      <w:pPr>
        <w:numPr>
          <w:ilvl w:val="0"/>
          <w:numId w:val="5"/>
        </w:numPr>
        <w:wordWrap w:val="0"/>
        <w:adjustRightIn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标前准备：各供应商应在开标前确保成为浙江省政府采购网正式注册入库供应商，并完成CA数字证书办理。因未注册入库、未办理CA数字证书等原因造成无法投标或投标失败等后果由供应商自行承担。</w:t>
      </w:r>
    </w:p>
    <w:p>
      <w:pPr>
        <w:autoSpaceDE w:val="0"/>
        <w:autoSpaceDN w:val="0"/>
        <w:spacing w:line="360" w:lineRule="auto"/>
        <w:ind w:firstLine="480" w:firstLineChars="200"/>
        <w:textAlignment w:val="bottom"/>
        <w:rPr>
          <w:rFonts w:cs="宋体" w:asciiTheme="minorEastAsia" w:hAnsiTheme="minorEastAsia" w:eastAsiaTheme="minorEastAsia"/>
          <w:sz w:val="24"/>
        </w:rPr>
      </w:pPr>
      <w:r>
        <w:rPr>
          <w:rFonts w:hint="eastAsia" w:cs="宋体" w:asciiTheme="minorEastAsia" w:hAnsiTheme="minorEastAsia" w:eastAsiaTheme="minorEastAsia"/>
          <w:sz w:val="24"/>
        </w:rPr>
        <w:t>供应商将政采云电子交易客户端下载、安装完成后，可通过账号密码或CA登录客户端进行投标文件制作。在使用政采云投标客户端时，建议使用WIN7及以上操作系统。</w:t>
      </w:r>
    </w:p>
    <w:p>
      <w:pPr>
        <w:autoSpaceDE w:val="0"/>
        <w:autoSpaceDN w:val="0"/>
        <w:spacing w:line="360" w:lineRule="auto"/>
        <w:ind w:firstLine="480" w:firstLineChars="200"/>
        <w:textAlignment w:val="bottom"/>
        <w:rPr>
          <w:rFonts w:cs="宋体" w:asciiTheme="minorEastAsia" w:hAnsiTheme="minorEastAsia" w:eastAsiaTheme="minorEastAsia"/>
          <w:sz w:val="24"/>
        </w:rPr>
      </w:pPr>
      <w:r>
        <w:rPr>
          <w:rFonts w:hint="eastAsia" w:cs="宋体" w:asciiTheme="minorEastAsia" w:hAnsiTheme="minorEastAsia" w:eastAsiaTheme="minorEastAsia"/>
          <w:sz w:val="24"/>
        </w:rPr>
        <w:t>注：供应商先要申领CA，取得CA后需要在政采云平台进行绑定，CA相关操作可参考《CA管理学习专题》。完成CA数字证书办理在资料齐全的情况下预计7个工作日左右，建议供应商获取招标文件后立即办理。</w:t>
      </w:r>
    </w:p>
    <w:p>
      <w:pPr>
        <w:adjustRightInd w:val="0"/>
        <w:spacing w:line="360" w:lineRule="auto"/>
        <w:ind w:left="400" w:leftChars="200"/>
        <w:rPr>
          <w:rFonts w:cs="宋体" w:asciiTheme="minorEastAsia" w:hAnsiTheme="minorEastAsia" w:eastAsiaTheme="minorEastAsia"/>
          <w:sz w:val="24"/>
        </w:rPr>
      </w:pPr>
      <w:r>
        <w:rPr>
          <w:rFonts w:hint="eastAsia" w:cs="宋体" w:asciiTheme="minorEastAsia" w:hAnsiTheme="minorEastAsia" w:eastAsiaTheme="minorEastAsia"/>
          <w:sz w:val="24"/>
        </w:rPr>
        <w:t>《CA管理学习专题》：</w:t>
      </w:r>
    </w:p>
    <w:p>
      <w:pPr>
        <w:adjustRightInd w:val="0"/>
        <w:spacing w:line="360" w:lineRule="auto"/>
        <w:ind w:left="400" w:leftChars="200"/>
        <w:rPr>
          <w:rFonts w:cs="宋体" w:asciiTheme="minorEastAsia" w:hAnsiTheme="minorEastAsia" w:eastAsiaTheme="minorEastAsia"/>
          <w:sz w:val="24"/>
        </w:rPr>
      </w:pPr>
      <w:r>
        <w:rPr>
          <w:rFonts w:hint="eastAsia" w:cs="宋体" w:asciiTheme="minorEastAsia" w:hAnsiTheme="minorEastAsia" w:eastAsiaTheme="minorEastAsia"/>
          <w:sz w:val="24"/>
        </w:rPr>
        <w:t>https://edu.zcygov.cn/luban/ca?utm=web-government-front.380aac0a.0.0.fc2b6aa0b6e211ebbdb0dd007730dd44</w:t>
      </w:r>
    </w:p>
    <w:p>
      <w:pPr>
        <w:adjustRightInd w:val="0"/>
        <w:spacing w:line="360" w:lineRule="auto"/>
        <w:ind w:left="400" w:leftChars="200"/>
        <w:rPr>
          <w:rFonts w:cs="宋体" w:asciiTheme="minorEastAsia" w:hAnsiTheme="minorEastAsia" w:eastAsiaTheme="minorEastAsia"/>
          <w:sz w:val="24"/>
        </w:rPr>
      </w:pPr>
      <w:r>
        <w:rPr>
          <w:rFonts w:hint="eastAsia" w:cs="宋体" w:asciiTheme="minorEastAsia" w:hAnsiTheme="minorEastAsia" w:eastAsiaTheme="minorEastAsia"/>
          <w:sz w:val="24"/>
        </w:rPr>
        <w:t>《CA驱动和申领流程》:</w:t>
      </w:r>
    </w:p>
    <w:p>
      <w:pPr>
        <w:adjustRightInd w:val="0"/>
        <w:spacing w:line="360" w:lineRule="auto"/>
        <w:ind w:left="400" w:leftChars="200"/>
        <w:rPr>
          <w:rFonts w:cs="宋体" w:asciiTheme="minorEastAsia" w:hAnsiTheme="minorEastAsia" w:eastAsiaTheme="minorEastAsia"/>
          <w:sz w:val="24"/>
          <w:szCs w:val="24"/>
        </w:rPr>
      </w:pPr>
      <w:r>
        <w:fldChar w:fldCharType="begin"/>
      </w:r>
      <w:r>
        <w:instrText xml:space="preserve"> HYPERLINK "http://zfcg.czt.zj.gov.cn/bidClientTemplate/2019-05-27/12945.html" </w:instrText>
      </w:r>
      <w:r>
        <w:fldChar w:fldCharType="separate"/>
      </w:r>
      <w:r>
        <w:rPr>
          <w:rFonts w:hint="eastAsia" w:cs="宋体" w:asciiTheme="minorEastAsia" w:hAnsiTheme="minorEastAsia" w:eastAsiaTheme="minorEastAsia"/>
          <w:sz w:val="24"/>
        </w:rPr>
        <w:t>http://zfcg.czt.zj.gov.cn/bidClientTemplate/2019-05-27/12945.html</w:t>
      </w:r>
      <w:r>
        <w:rPr>
          <w:rFonts w:hint="eastAsia" w:cs="宋体" w:asciiTheme="minorEastAsia" w:hAnsiTheme="minorEastAsia" w:eastAsiaTheme="minorEastAsia"/>
          <w:sz w:val="24"/>
        </w:rPr>
        <w:fldChar w:fldCharType="end"/>
      </w:r>
    </w:p>
    <w:p>
      <w:pPr>
        <w:numPr>
          <w:ilvl w:val="0"/>
          <w:numId w:val="5"/>
        </w:numPr>
        <w:adjustRightIn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投标文件制作：</w:t>
      </w:r>
    </w:p>
    <w:p>
      <w:pPr>
        <w:numPr>
          <w:ilvl w:val="0"/>
          <w:numId w:val="6"/>
        </w:numPr>
        <w:adjustRightIn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应按照本项目招标文件和政采云平台的要求编制、加密并递交投标文件。供应商在使用系统进行投标的过程中遇到涉及平台使用的任何问题，可致电政采云平台技术支持热线咨询，联系方式：400-881-7190。</w:t>
      </w:r>
    </w:p>
    <w:p>
      <w:pPr>
        <w:numPr>
          <w:ilvl w:val="0"/>
          <w:numId w:val="6"/>
        </w:numPr>
        <w:wordWrap w:val="0"/>
        <w:adjustRightIn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投标人通过“政采云”平台电子投标工具制作投标文件。</w:t>
      </w:r>
    </w:p>
    <w:p>
      <w:pPr>
        <w:adjustRightInd w:val="0"/>
        <w:spacing w:line="360" w:lineRule="auto"/>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《电子投标工具》：</w:t>
      </w:r>
    </w:p>
    <w:p>
      <w:pPr>
        <w:adjustRightInd w:val="0"/>
        <w:spacing w:line="360" w:lineRule="auto"/>
        <w:ind w:firstLine="400" w:firstLineChars="200"/>
        <w:jc w:val="left"/>
        <w:rPr>
          <w:rFonts w:cs="宋体" w:asciiTheme="minorEastAsia" w:hAnsiTheme="minorEastAsia" w:eastAsiaTheme="minorEastAsia"/>
          <w:sz w:val="24"/>
          <w:szCs w:val="24"/>
        </w:rPr>
      </w:pPr>
      <w:r>
        <w:fldChar w:fldCharType="begin"/>
      </w:r>
      <w:r>
        <w:instrText xml:space="preserve"> HYPERLINK "http://zfcg.czt.zj.gov.cn/bidClientTemplate/2019-09-24/12975.html" </w:instrText>
      </w:r>
      <w:r>
        <w:fldChar w:fldCharType="separate"/>
      </w:r>
      <w:r>
        <w:rPr>
          <w:rFonts w:hint="eastAsia" w:cs="宋体" w:asciiTheme="minorEastAsia" w:hAnsiTheme="minorEastAsia" w:eastAsiaTheme="minorEastAsia"/>
          <w:sz w:val="24"/>
          <w:szCs w:val="24"/>
        </w:rPr>
        <w:t>http://zfcg.czt.zj.gov.cn/bidClientTemplate/2019-09-24/12975.html</w:t>
      </w:r>
      <w:r>
        <w:rPr>
          <w:rFonts w:hint="eastAsia" w:cs="宋体" w:asciiTheme="minorEastAsia" w:hAnsiTheme="minorEastAsia" w:eastAsiaTheme="minorEastAsia"/>
          <w:sz w:val="24"/>
          <w:szCs w:val="24"/>
        </w:rPr>
        <w:fldChar w:fldCharType="end"/>
      </w:r>
    </w:p>
    <w:p>
      <w:pPr>
        <w:adjustRightInd w:val="0"/>
        <w:spacing w:line="360" w:lineRule="auto"/>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《供应商-政府采购项目电子交易操作指南》：(需登录账号后查看)</w:t>
      </w:r>
    </w:p>
    <w:p>
      <w:pPr>
        <w:adjustRightInd w:val="0"/>
        <w:spacing w:line="360" w:lineRule="auto"/>
        <w:ind w:firstLine="400" w:firstLineChars="200"/>
        <w:jc w:val="left"/>
        <w:rPr>
          <w:rFonts w:cs="宋体" w:asciiTheme="minorEastAsia" w:hAnsiTheme="minorEastAsia" w:eastAsiaTheme="minorEastAsia"/>
          <w:sz w:val="24"/>
          <w:szCs w:val="24"/>
        </w:rPr>
      </w:pPr>
      <w:r>
        <w:fldChar w:fldCharType="begin"/>
      </w:r>
      <w:r>
        <w:instrText xml:space="preserve"> HYPERLINK "https://service.zcygov.cn/" \l "/knowledges/tree?tag=AG1DtGwBFdiHxlNdhY0r" </w:instrText>
      </w:r>
      <w:r>
        <w:fldChar w:fldCharType="separate"/>
      </w:r>
      <w:r>
        <w:rPr>
          <w:rFonts w:hint="eastAsia" w:cs="宋体" w:asciiTheme="minorEastAsia" w:hAnsiTheme="minorEastAsia" w:eastAsiaTheme="minorEastAsia"/>
          <w:sz w:val="24"/>
          <w:szCs w:val="24"/>
        </w:rPr>
        <w:t>https://service.zcygov.cn/#/knowledges/tree?tag=AG1DtGwBFdiHxlNdhY0r</w:t>
      </w:r>
      <w:r>
        <w:rPr>
          <w:rFonts w:hint="eastAsia" w:cs="宋体" w:asciiTheme="minorEastAsia" w:hAnsiTheme="minorEastAsia" w:eastAsiaTheme="minorEastAsia"/>
          <w:sz w:val="24"/>
          <w:szCs w:val="24"/>
        </w:rPr>
        <w:fldChar w:fldCharType="end"/>
      </w:r>
    </w:p>
    <w:p>
      <w:pPr>
        <w:adjustRightIn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4.供应商在法定质疑期内应一次性提出针对同一采购程序环节的质疑。否则质疑将不予受理。</w:t>
      </w:r>
    </w:p>
    <w:p>
      <w:pPr>
        <w:adjustRightIn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5.投标人可指派授权代表递交备份文件，授权代表递交备份文件需携带法定代表人授权书原件，于投标截止时间前到达开标地点递交。</w:t>
      </w:r>
    </w:p>
    <w:p>
      <w:pPr>
        <w:adjustRightInd w:val="0"/>
        <w:spacing w:line="360" w:lineRule="auto"/>
        <w:ind w:left="400" w:left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6.特别提醒</w:t>
      </w:r>
    </w:p>
    <w:p>
      <w:pPr>
        <w:wordWrap w:val="0"/>
        <w:adjustRightIn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单位负责人为同一人或者存在直接控股、管理关系的不同供应商，不得参加同一合同项下的采购活动。</w:t>
      </w:r>
    </w:p>
    <w:p>
      <w:pPr>
        <w:adjustRightInd w:val="0"/>
        <w:spacing w:line="360" w:lineRule="auto"/>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除单一来源采购项目外，为采购项目提供整体设计、规范编制或者项目管理、监理、检测等服务的供应商，不得再参加该采购项目的其他采购活动。</w:t>
      </w:r>
    </w:p>
    <w:p>
      <w:pPr>
        <w:adjustRightInd w:val="0"/>
        <w:spacing w:line="360" w:lineRule="auto"/>
        <w:ind w:firstLine="482" w:firstLineChars="200"/>
        <w:jc w:val="left"/>
        <w:rPr>
          <w:rFonts w:asciiTheme="minorEastAsia" w:hAnsiTheme="minorEastAsia" w:eastAsiaTheme="minorEastAsia"/>
          <w:sz w:val="24"/>
          <w:szCs w:val="24"/>
        </w:rPr>
      </w:pPr>
      <w:r>
        <w:rPr>
          <w:rFonts w:hint="eastAsia" w:cs="宋体" w:asciiTheme="minorEastAsia" w:hAnsiTheme="minorEastAsia" w:eastAsiaTheme="minorEastAsia"/>
          <w:b/>
          <w:bCs/>
          <w:sz w:val="24"/>
          <w:szCs w:val="24"/>
        </w:rPr>
        <w:t>七</w:t>
      </w:r>
      <w:r>
        <w:rPr>
          <w:rFonts w:hint="default" w:cs="宋体" w:asciiTheme="minorEastAsia" w:hAnsiTheme="minorEastAsia" w:eastAsiaTheme="minorEastAsia"/>
          <w:b/>
          <w:bCs/>
          <w:sz w:val="24"/>
          <w:szCs w:val="24"/>
        </w:rPr>
        <w:t>、</w:t>
      </w:r>
      <w:r>
        <w:rPr>
          <w:rFonts w:hint="eastAsia" w:cs="宋体" w:asciiTheme="minorEastAsia" w:hAnsiTheme="minorEastAsia" w:eastAsiaTheme="minorEastAsia"/>
          <w:b/>
          <w:bCs/>
          <w:sz w:val="24"/>
          <w:szCs w:val="24"/>
        </w:rPr>
        <w:t>询价响应截止时间及要求：</w:t>
      </w:r>
      <w:r>
        <w:rPr>
          <w:rFonts w:cs="宋体" w:asciiTheme="minorEastAsia" w:hAnsiTheme="minorEastAsia" w:eastAsiaTheme="minorEastAsia"/>
          <w:color w:val="auto"/>
          <w:sz w:val="24"/>
          <w:szCs w:val="24"/>
          <w:u w:val="single"/>
        </w:rPr>
        <w:t>202</w:t>
      </w:r>
      <w:r>
        <w:rPr>
          <w:rFonts w:hint="eastAsia" w:cs="宋体" w:asciiTheme="minorEastAsia" w:hAnsiTheme="minorEastAsia" w:eastAsiaTheme="minorEastAsia"/>
          <w:color w:val="auto"/>
          <w:sz w:val="24"/>
          <w:szCs w:val="24"/>
          <w:u w:val="single"/>
        </w:rPr>
        <w:t>3</w:t>
      </w:r>
      <w:r>
        <w:rPr>
          <w:rFonts w:hint="eastAsia" w:cs="宋体" w:asciiTheme="minorEastAsia" w:hAnsiTheme="minorEastAsia" w:eastAsiaTheme="minorEastAsia"/>
          <w:color w:val="auto"/>
          <w:sz w:val="24"/>
          <w:szCs w:val="24"/>
        </w:rPr>
        <w:t>年</w:t>
      </w:r>
      <w:r>
        <w:rPr>
          <w:rFonts w:hint="eastAsia" w:cs="宋体" w:asciiTheme="minorEastAsia" w:hAnsiTheme="minorEastAsia" w:eastAsiaTheme="minorEastAsia"/>
          <w:color w:val="auto"/>
          <w:sz w:val="24"/>
          <w:szCs w:val="24"/>
          <w:u w:val="single"/>
          <w:lang w:val="en-US" w:eastAsia="zh-CN"/>
        </w:rPr>
        <w:t xml:space="preserve"> 6</w:t>
      </w:r>
      <w:r>
        <w:rPr>
          <w:rFonts w:hint="eastAsia" w:cs="宋体" w:asciiTheme="minorEastAsia" w:hAnsiTheme="minorEastAsia" w:eastAsiaTheme="minorEastAsia"/>
          <w:color w:val="auto"/>
          <w:sz w:val="24"/>
          <w:szCs w:val="24"/>
        </w:rPr>
        <w:t>月</w:t>
      </w:r>
      <w:r>
        <w:rPr>
          <w:rFonts w:hint="eastAsia" w:cs="宋体" w:asciiTheme="minorEastAsia" w:hAnsiTheme="minorEastAsia" w:eastAsiaTheme="minorEastAsia"/>
          <w:color w:val="auto"/>
          <w:sz w:val="24"/>
          <w:szCs w:val="24"/>
          <w:u w:val="single"/>
        </w:rPr>
        <w:t xml:space="preserve"> </w:t>
      </w:r>
      <w:r>
        <w:rPr>
          <w:rFonts w:hint="eastAsia" w:cs="宋体" w:asciiTheme="minorEastAsia" w:hAnsiTheme="minorEastAsia" w:eastAsiaTheme="minorEastAsia"/>
          <w:color w:val="auto"/>
          <w:sz w:val="24"/>
          <w:szCs w:val="24"/>
          <w:u w:val="single"/>
          <w:lang w:val="en-US" w:eastAsia="zh-CN"/>
        </w:rPr>
        <w:t>1</w:t>
      </w:r>
      <w:r>
        <w:rPr>
          <w:rFonts w:hint="eastAsia" w:cs="宋体" w:asciiTheme="minorEastAsia" w:hAnsiTheme="minorEastAsia" w:eastAsiaTheme="minorEastAsia"/>
          <w:color w:val="auto"/>
          <w:sz w:val="24"/>
          <w:szCs w:val="24"/>
          <w:u w:val="single"/>
        </w:rPr>
        <w:t xml:space="preserve"> </w:t>
      </w:r>
      <w:r>
        <w:rPr>
          <w:rFonts w:hint="eastAsia" w:cs="宋体" w:asciiTheme="minorEastAsia" w:hAnsiTheme="minorEastAsia" w:eastAsiaTheme="minorEastAsia"/>
          <w:color w:val="auto"/>
          <w:sz w:val="24"/>
          <w:szCs w:val="24"/>
        </w:rPr>
        <w:t>日上午</w:t>
      </w:r>
      <w:r>
        <w:rPr>
          <w:rFonts w:hint="eastAsia" w:cs="宋体" w:asciiTheme="minorEastAsia" w:hAnsiTheme="minorEastAsia" w:eastAsiaTheme="minorEastAsia"/>
          <w:color w:val="auto"/>
          <w:sz w:val="24"/>
          <w:szCs w:val="24"/>
          <w:u w:val="single"/>
        </w:rPr>
        <w:t>09</w:t>
      </w:r>
      <w:r>
        <w:rPr>
          <w:rFonts w:hint="eastAsia" w:cs="宋体" w:asciiTheme="minorEastAsia" w:hAnsiTheme="minorEastAsia" w:eastAsiaTheme="minorEastAsia"/>
          <w:color w:val="auto"/>
          <w:sz w:val="24"/>
          <w:szCs w:val="24"/>
        </w:rPr>
        <w:t>时</w:t>
      </w:r>
      <w:r>
        <w:rPr>
          <w:rFonts w:hint="eastAsia" w:cs="宋体" w:asciiTheme="minorEastAsia" w:hAnsiTheme="minorEastAsia" w:eastAsiaTheme="minorEastAsia"/>
          <w:color w:val="auto"/>
          <w:sz w:val="24"/>
          <w:szCs w:val="24"/>
          <w:u w:val="single"/>
        </w:rPr>
        <w:t>3</w:t>
      </w:r>
      <w:r>
        <w:rPr>
          <w:rFonts w:cs="宋体" w:asciiTheme="minorEastAsia" w:hAnsiTheme="minorEastAsia" w:eastAsiaTheme="minorEastAsia"/>
          <w:color w:val="auto"/>
          <w:sz w:val="24"/>
          <w:szCs w:val="24"/>
          <w:u w:val="single"/>
        </w:rPr>
        <w:t xml:space="preserve">0 </w:t>
      </w:r>
      <w:r>
        <w:rPr>
          <w:rFonts w:hint="eastAsia" w:cs="宋体" w:asciiTheme="minorEastAsia" w:hAnsiTheme="minorEastAsia" w:eastAsiaTheme="minorEastAsia"/>
          <w:color w:val="auto"/>
          <w:sz w:val="24"/>
          <w:szCs w:val="24"/>
        </w:rPr>
        <w:t>分整</w:t>
      </w:r>
      <w:r>
        <w:rPr>
          <w:rFonts w:hint="eastAsia" w:cs="宋体" w:asciiTheme="minorEastAsia" w:hAnsiTheme="minorEastAsia" w:eastAsiaTheme="minorEastAsia"/>
          <w:sz w:val="24"/>
          <w:szCs w:val="24"/>
        </w:rPr>
        <w:t>之前将电子询价响应文件上传到“政采云”平台。</w:t>
      </w:r>
    </w:p>
    <w:p>
      <w:pPr>
        <w:adjustRightInd w:val="0"/>
        <w:spacing w:line="360" w:lineRule="auto"/>
        <w:ind w:firstLine="482" w:firstLineChars="200"/>
        <w:jc w:val="left"/>
        <w:rPr>
          <w:rFonts w:asciiTheme="minorEastAsia" w:hAnsiTheme="minorEastAsia" w:eastAsiaTheme="minorEastAsia"/>
          <w:sz w:val="24"/>
          <w:szCs w:val="24"/>
        </w:rPr>
      </w:pPr>
      <w:r>
        <w:rPr>
          <w:rFonts w:hint="eastAsia" w:cs="宋体" w:asciiTheme="minorEastAsia" w:hAnsiTheme="minorEastAsia" w:eastAsiaTheme="minorEastAsia"/>
          <w:b/>
          <w:bCs/>
          <w:sz w:val="24"/>
          <w:szCs w:val="24"/>
        </w:rPr>
        <w:t>八</w:t>
      </w:r>
      <w:r>
        <w:rPr>
          <w:rFonts w:hint="default" w:cs="宋体" w:asciiTheme="minorEastAsia" w:hAnsiTheme="minorEastAsia" w:eastAsiaTheme="minorEastAsia"/>
          <w:b/>
          <w:bCs/>
          <w:sz w:val="24"/>
          <w:szCs w:val="24"/>
        </w:rPr>
        <w:t>、</w:t>
      </w:r>
      <w:r>
        <w:rPr>
          <w:rFonts w:hint="eastAsia" w:cs="宋体" w:asciiTheme="minorEastAsia" w:hAnsiTheme="minorEastAsia" w:eastAsiaTheme="minorEastAsia"/>
          <w:b/>
          <w:bCs/>
          <w:sz w:val="24"/>
          <w:szCs w:val="24"/>
        </w:rPr>
        <w:t>递交首次响应文件时间及地点：</w:t>
      </w:r>
      <w:r>
        <w:rPr>
          <w:rFonts w:cs="宋体" w:asciiTheme="minorEastAsia" w:hAnsiTheme="minorEastAsia" w:eastAsiaTheme="minorEastAsia"/>
          <w:color w:val="auto"/>
          <w:sz w:val="24"/>
          <w:szCs w:val="24"/>
          <w:u w:val="single"/>
        </w:rPr>
        <w:t>202</w:t>
      </w:r>
      <w:r>
        <w:rPr>
          <w:rFonts w:hint="eastAsia" w:cs="宋体" w:asciiTheme="minorEastAsia" w:hAnsiTheme="minorEastAsia" w:eastAsiaTheme="minorEastAsia"/>
          <w:color w:val="auto"/>
          <w:sz w:val="24"/>
          <w:szCs w:val="24"/>
          <w:u w:val="single"/>
        </w:rPr>
        <w:t>3</w:t>
      </w:r>
      <w:r>
        <w:rPr>
          <w:rFonts w:hint="eastAsia" w:cs="宋体" w:asciiTheme="minorEastAsia" w:hAnsiTheme="minorEastAsia" w:eastAsiaTheme="minorEastAsia"/>
          <w:color w:val="auto"/>
          <w:sz w:val="24"/>
          <w:szCs w:val="24"/>
        </w:rPr>
        <w:t>年</w:t>
      </w:r>
      <w:r>
        <w:rPr>
          <w:rFonts w:hint="eastAsia" w:cs="宋体" w:asciiTheme="minorEastAsia" w:hAnsiTheme="minorEastAsia" w:eastAsiaTheme="minorEastAsia"/>
          <w:color w:val="auto"/>
          <w:sz w:val="24"/>
          <w:szCs w:val="24"/>
          <w:u w:val="single"/>
          <w:lang w:val="en-US" w:eastAsia="zh-CN"/>
        </w:rPr>
        <w:t xml:space="preserve"> 6</w:t>
      </w:r>
      <w:r>
        <w:rPr>
          <w:rFonts w:hint="eastAsia" w:cs="宋体" w:asciiTheme="minorEastAsia" w:hAnsiTheme="minorEastAsia" w:eastAsiaTheme="minorEastAsia"/>
          <w:color w:val="auto"/>
          <w:sz w:val="24"/>
          <w:szCs w:val="24"/>
        </w:rPr>
        <w:t>月</w:t>
      </w:r>
      <w:r>
        <w:rPr>
          <w:rFonts w:hint="eastAsia" w:cs="宋体" w:asciiTheme="minorEastAsia" w:hAnsiTheme="minorEastAsia" w:eastAsiaTheme="minorEastAsia"/>
          <w:color w:val="auto"/>
          <w:sz w:val="24"/>
          <w:szCs w:val="24"/>
          <w:u w:val="single"/>
        </w:rPr>
        <w:t xml:space="preserve"> </w:t>
      </w:r>
      <w:r>
        <w:rPr>
          <w:rFonts w:hint="eastAsia" w:cs="宋体" w:asciiTheme="minorEastAsia" w:hAnsiTheme="minorEastAsia" w:eastAsiaTheme="minorEastAsia"/>
          <w:color w:val="auto"/>
          <w:sz w:val="24"/>
          <w:szCs w:val="24"/>
          <w:u w:val="single"/>
          <w:lang w:val="en-US" w:eastAsia="zh-CN"/>
        </w:rPr>
        <w:t>1</w:t>
      </w:r>
      <w:r>
        <w:rPr>
          <w:rFonts w:hint="eastAsia" w:cs="宋体" w:asciiTheme="minorEastAsia" w:hAnsiTheme="minorEastAsia" w:eastAsiaTheme="minorEastAsia"/>
          <w:color w:val="auto"/>
          <w:sz w:val="24"/>
          <w:szCs w:val="24"/>
          <w:u w:val="single"/>
        </w:rPr>
        <w:t xml:space="preserve"> </w:t>
      </w:r>
      <w:r>
        <w:rPr>
          <w:rFonts w:hint="eastAsia" w:cs="宋体" w:asciiTheme="minorEastAsia" w:hAnsiTheme="minorEastAsia" w:eastAsiaTheme="minorEastAsia"/>
          <w:color w:val="auto"/>
          <w:sz w:val="24"/>
          <w:szCs w:val="24"/>
        </w:rPr>
        <w:t>日上午</w:t>
      </w:r>
      <w:r>
        <w:rPr>
          <w:rFonts w:hint="eastAsia" w:cs="宋体" w:asciiTheme="minorEastAsia" w:hAnsiTheme="minorEastAsia" w:eastAsiaTheme="minorEastAsia"/>
          <w:color w:val="auto"/>
          <w:sz w:val="24"/>
          <w:szCs w:val="24"/>
          <w:u w:val="single"/>
        </w:rPr>
        <w:t>09</w:t>
      </w:r>
      <w:r>
        <w:rPr>
          <w:rFonts w:hint="eastAsia" w:cs="宋体" w:asciiTheme="minorEastAsia" w:hAnsiTheme="minorEastAsia" w:eastAsiaTheme="minorEastAsia"/>
          <w:color w:val="auto"/>
          <w:sz w:val="24"/>
          <w:szCs w:val="24"/>
        </w:rPr>
        <w:t>时</w:t>
      </w:r>
      <w:r>
        <w:rPr>
          <w:rFonts w:hint="eastAsia" w:cs="宋体" w:asciiTheme="minorEastAsia" w:hAnsiTheme="minorEastAsia" w:eastAsiaTheme="minorEastAsia"/>
          <w:color w:val="auto"/>
          <w:sz w:val="24"/>
          <w:szCs w:val="24"/>
          <w:u w:val="single"/>
        </w:rPr>
        <w:t>3</w:t>
      </w:r>
      <w:r>
        <w:rPr>
          <w:rFonts w:cs="宋体" w:asciiTheme="minorEastAsia" w:hAnsiTheme="minorEastAsia" w:eastAsiaTheme="minorEastAsia"/>
          <w:color w:val="auto"/>
          <w:sz w:val="24"/>
          <w:szCs w:val="24"/>
          <w:u w:val="single"/>
        </w:rPr>
        <w:t>0</w:t>
      </w:r>
      <w:r>
        <w:rPr>
          <w:rFonts w:hint="eastAsia" w:cs="宋体" w:asciiTheme="minorEastAsia" w:hAnsiTheme="minorEastAsia" w:eastAsiaTheme="minorEastAsia"/>
          <w:color w:val="auto"/>
          <w:sz w:val="24"/>
          <w:szCs w:val="24"/>
        </w:rPr>
        <w:t>分</w:t>
      </w:r>
      <w:bookmarkStart w:id="6" w:name="B30_开标地点"/>
      <w:r>
        <w:rPr>
          <w:rFonts w:hint="eastAsia" w:cs="宋体" w:asciiTheme="minorEastAsia" w:hAnsiTheme="minorEastAsia" w:eastAsiaTheme="minorEastAsia"/>
          <w:sz w:val="24"/>
          <w:szCs w:val="24"/>
        </w:rPr>
        <w:t>整在</w:t>
      </w:r>
      <w:r>
        <w:rPr>
          <w:rFonts w:hint="eastAsia" w:ascii="宋体" w:hAnsi="宋体" w:cs="宋体" w:eastAsiaTheme="minorEastAsia"/>
          <w:sz w:val="24"/>
          <w:szCs w:val="24"/>
        </w:rPr>
        <w:t>绍兴明晨建设项目管理有限公司</w:t>
      </w:r>
      <w:r>
        <w:rPr>
          <w:rFonts w:hint="eastAsia" w:ascii="宋体" w:hAnsi="宋体" w:cs="宋体"/>
          <w:sz w:val="24"/>
          <w:szCs w:val="24"/>
        </w:rPr>
        <w:t>开标室</w:t>
      </w:r>
      <w:r>
        <w:rPr>
          <w:rFonts w:hint="eastAsia" w:cs="宋体" w:asciiTheme="minorEastAsia" w:hAnsiTheme="minorEastAsia" w:eastAsiaTheme="minorEastAsia"/>
          <w:sz w:val="24"/>
          <w:szCs w:val="24"/>
        </w:rPr>
        <w:t>开标。</w:t>
      </w:r>
      <w:bookmarkEnd w:id="6"/>
    </w:p>
    <w:p>
      <w:pPr>
        <w:adjustRightInd w:val="0"/>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开标时间后</w:t>
      </w:r>
      <w:r>
        <w:rPr>
          <w:rFonts w:cs="宋体" w:asciiTheme="minorEastAsia" w:hAnsiTheme="minorEastAsia" w:eastAsiaTheme="minorEastAsia"/>
          <w:sz w:val="24"/>
          <w:szCs w:val="24"/>
        </w:rPr>
        <w:t>30</w:t>
      </w:r>
      <w:r>
        <w:rPr>
          <w:rFonts w:hint="eastAsia" w:cs="宋体" w:asciiTheme="minorEastAsia" w:hAnsiTheme="minorEastAsia" w:eastAsiaTheme="minorEastAsia"/>
          <w:sz w:val="24"/>
          <w:szCs w:val="24"/>
        </w:rPr>
        <w:t>分钟内（当日10</w:t>
      </w:r>
      <w:r>
        <w:rPr>
          <w:rFonts w:cs="宋体" w:asciiTheme="minorEastAsia" w:hAnsiTheme="minorEastAsia" w:eastAsiaTheme="minorEastAsia"/>
          <w:sz w:val="24"/>
          <w:szCs w:val="24"/>
        </w:rPr>
        <w:t xml:space="preserve"> : </w:t>
      </w:r>
      <w:r>
        <w:rPr>
          <w:rFonts w:hint="eastAsia" w:cs="宋体" w:asciiTheme="minorEastAsia" w:hAnsiTheme="minorEastAsia" w:eastAsiaTheme="minorEastAsia"/>
          <w:sz w:val="24"/>
          <w:szCs w:val="24"/>
        </w:rPr>
        <w:t>0</w:t>
      </w:r>
      <w:r>
        <w:rPr>
          <w:rFonts w:cs="宋体" w:asciiTheme="minorEastAsia" w:hAnsiTheme="minorEastAsia" w:eastAsiaTheme="minorEastAsia"/>
          <w:sz w:val="24"/>
          <w:szCs w:val="24"/>
        </w:rPr>
        <w:t xml:space="preserve">0 </w:t>
      </w:r>
      <w:r>
        <w:rPr>
          <w:rFonts w:hint="eastAsia" w:cs="宋体" w:asciiTheme="minorEastAsia" w:hAnsiTheme="minorEastAsia" w:eastAsiaTheme="minorEastAsia"/>
          <w:sz w:val="24"/>
          <w:szCs w:val="24"/>
        </w:rPr>
        <w:t>前）供应商可以登录“政采云”平台，用“项目采购</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开标评标”功能进行解密响应文件。若供应商在规定时间内（当日10</w:t>
      </w:r>
      <w:r>
        <w:rPr>
          <w:rFonts w:cs="宋体" w:asciiTheme="minorEastAsia" w:hAnsiTheme="minorEastAsia" w:eastAsiaTheme="minorEastAsia"/>
          <w:sz w:val="24"/>
          <w:szCs w:val="24"/>
        </w:rPr>
        <w:t xml:space="preserve"> : </w:t>
      </w:r>
      <w:r>
        <w:rPr>
          <w:rFonts w:hint="eastAsia" w:cs="宋体" w:asciiTheme="minorEastAsia" w:hAnsiTheme="minorEastAsia" w:eastAsiaTheme="minorEastAsia"/>
          <w:sz w:val="24"/>
          <w:szCs w:val="24"/>
        </w:rPr>
        <w:t>0</w:t>
      </w:r>
      <w:r>
        <w:rPr>
          <w:rFonts w:cs="宋体" w:asciiTheme="minorEastAsia" w:hAnsiTheme="minorEastAsia" w:eastAsiaTheme="minorEastAsia"/>
          <w:sz w:val="24"/>
          <w:szCs w:val="24"/>
        </w:rPr>
        <w:t xml:space="preserve">0 </w:t>
      </w:r>
      <w:r>
        <w:rPr>
          <w:rFonts w:hint="eastAsia" w:cs="宋体" w:asciiTheme="minorEastAsia" w:hAnsiTheme="minorEastAsia" w:eastAsiaTheme="minorEastAsia"/>
          <w:sz w:val="24"/>
          <w:szCs w:val="24"/>
        </w:rPr>
        <w:t>前）解密失败，则由采购代理机构工作人员上传供应商提供的备份文件。备份文件（后缀名为</w:t>
      </w:r>
      <w:r>
        <w:rPr>
          <w:rFonts w:cs="宋体" w:asciiTheme="minorEastAsia" w:hAnsiTheme="minorEastAsia" w:eastAsiaTheme="minorEastAsia"/>
          <w:sz w:val="24"/>
          <w:szCs w:val="24"/>
        </w:rPr>
        <w:t>.bfbs</w:t>
      </w:r>
      <w:r>
        <w:rPr>
          <w:rFonts w:hint="eastAsia" w:cs="宋体" w:asciiTheme="minorEastAsia" w:hAnsiTheme="minorEastAsia" w:eastAsiaTheme="minorEastAsia"/>
          <w:sz w:val="24"/>
          <w:szCs w:val="24"/>
        </w:rPr>
        <w:t>）须存储在</w:t>
      </w:r>
      <w:r>
        <w:rPr>
          <w:rFonts w:cs="宋体" w:asciiTheme="minorEastAsia" w:hAnsiTheme="minorEastAsia" w:eastAsiaTheme="minorEastAsia"/>
          <w:sz w:val="24"/>
          <w:szCs w:val="24"/>
        </w:rPr>
        <w:t>U</w:t>
      </w:r>
      <w:r>
        <w:rPr>
          <w:rFonts w:hint="eastAsia" w:cs="宋体" w:asciiTheme="minorEastAsia" w:hAnsiTheme="minorEastAsia" w:eastAsiaTheme="minorEastAsia"/>
          <w:sz w:val="24"/>
          <w:szCs w:val="24"/>
        </w:rPr>
        <w:t>盘中，与上传的电子询价响应文件一致，用信封进行密封并盖章</w:t>
      </w:r>
      <w:r>
        <w:rPr>
          <w:rFonts w:hint="eastAsia" w:cs="宋体" w:asciiTheme="minorEastAsia" w:hAnsiTheme="minorEastAsia" w:eastAsiaTheme="minorEastAsia"/>
          <w:b/>
          <w:bCs/>
          <w:sz w:val="24"/>
          <w:szCs w:val="24"/>
        </w:rPr>
        <w:t>（信封内仅需放入存储备份文件的</w:t>
      </w:r>
      <w:r>
        <w:rPr>
          <w:rFonts w:cs="宋体" w:asciiTheme="minorEastAsia" w:hAnsiTheme="minorEastAsia" w:eastAsiaTheme="minorEastAsia"/>
          <w:b/>
          <w:bCs/>
          <w:sz w:val="24"/>
          <w:szCs w:val="24"/>
        </w:rPr>
        <w:t>U</w:t>
      </w:r>
      <w:r>
        <w:rPr>
          <w:rFonts w:hint="eastAsia" w:cs="宋体" w:asciiTheme="minorEastAsia" w:hAnsiTheme="minorEastAsia" w:eastAsiaTheme="minorEastAsia"/>
          <w:b/>
          <w:bCs/>
          <w:sz w:val="24"/>
          <w:szCs w:val="24"/>
        </w:rPr>
        <w:t>盘）</w:t>
      </w:r>
      <w:r>
        <w:rPr>
          <w:rFonts w:hint="eastAsia" w:cs="宋体" w:asciiTheme="minorEastAsia" w:hAnsiTheme="minorEastAsia" w:eastAsiaTheme="minorEastAsia"/>
          <w:sz w:val="24"/>
          <w:szCs w:val="24"/>
        </w:rPr>
        <w:t>，由授权代表在询价响应截止时间前递交至开标地点。若电子询价响应文件正常解锁，则</w:t>
      </w:r>
      <w:r>
        <w:rPr>
          <w:rFonts w:cs="宋体" w:asciiTheme="minorEastAsia" w:hAnsiTheme="minorEastAsia" w:eastAsiaTheme="minorEastAsia"/>
          <w:sz w:val="24"/>
          <w:szCs w:val="24"/>
        </w:rPr>
        <w:t>U</w:t>
      </w:r>
      <w:r>
        <w:rPr>
          <w:rFonts w:hint="eastAsia" w:cs="宋体" w:asciiTheme="minorEastAsia" w:hAnsiTheme="minorEastAsia" w:eastAsiaTheme="minorEastAsia"/>
          <w:sz w:val="24"/>
          <w:szCs w:val="24"/>
        </w:rPr>
        <w:t>盘退还给供应商；若解锁失败，则由采购代理机构将</w:t>
      </w:r>
      <w:r>
        <w:rPr>
          <w:rFonts w:cs="宋体" w:asciiTheme="minorEastAsia" w:hAnsiTheme="minorEastAsia" w:eastAsiaTheme="minorEastAsia"/>
          <w:sz w:val="24"/>
          <w:szCs w:val="24"/>
        </w:rPr>
        <w:t>U</w:t>
      </w:r>
      <w:r>
        <w:rPr>
          <w:rFonts w:hint="eastAsia" w:cs="宋体" w:asciiTheme="minorEastAsia" w:hAnsiTheme="minorEastAsia" w:eastAsiaTheme="minorEastAsia"/>
          <w:sz w:val="24"/>
          <w:szCs w:val="24"/>
        </w:rPr>
        <w:t>盘中的备份文件上传，该</w:t>
      </w:r>
      <w:r>
        <w:rPr>
          <w:rFonts w:cs="宋体" w:asciiTheme="minorEastAsia" w:hAnsiTheme="minorEastAsia" w:eastAsiaTheme="minorEastAsia"/>
          <w:sz w:val="24"/>
          <w:szCs w:val="24"/>
        </w:rPr>
        <w:t>U</w:t>
      </w:r>
      <w:r>
        <w:rPr>
          <w:rFonts w:hint="eastAsia" w:cs="宋体" w:asciiTheme="minorEastAsia" w:hAnsiTheme="minorEastAsia" w:eastAsiaTheme="minorEastAsia"/>
          <w:sz w:val="24"/>
          <w:szCs w:val="24"/>
        </w:rPr>
        <w:t>盘将由采购代理机构保存。</w:t>
      </w:r>
    </w:p>
    <w:p>
      <w:pPr>
        <w:adjustRightInd w:val="0"/>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本次开标不提供现场视频。</w:t>
      </w:r>
    </w:p>
    <w:p>
      <w:pPr>
        <w:adjustRightInd w:val="0"/>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九</w:t>
      </w:r>
      <w:r>
        <w:rPr>
          <w:rFonts w:hint="default" w:cs="宋体" w:asciiTheme="minorEastAsia" w:hAnsiTheme="minorEastAsia" w:eastAsiaTheme="minorEastAsia"/>
          <w:sz w:val="24"/>
          <w:szCs w:val="24"/>
        </w:rPr>
        <w:t>、</w:t>
      </w:r>
      <w:r>
        <w:rPr>
          <w:rFonts w:hint="eastAsia" w:cs="宋体" w:asciiTheme="minorEastAsia" w:hAnsiTheme="minorEastAsia" w:eastAsiaTheme="minorEastAsia"/>
          <w:sz w:val="24"/>
          <w:szCs w:val="24"/>
        </w:rPr>
        <w:t>询价保证金：</w:t>
      </w:r>
      <w:r>
        <w:rPr>
          <w:rFonts w:hint="eastAsia" w:cs="宋体" w:asciiTheme="minorEastAsia" w:hAnsiTheme="minorEastAsia" w:eastAsiaTheme="minorEastAsia"/>
          <w:color w:val="auto"/>
          <w:sz w:val="24"/>
          <w:szCs w:val="24"/>
          <w:lang w:val="en-US" w:eastAsia="zh-CN"/>
        </w:rPr>
        <w:t>6000元</w:t>
      </w:r>
      <w:r>
        <w:rPr>
          <w:rFonts w:hint="eastAsia" w:cs="宋体" w:asciiTheme="minorEastAsia" w:hAnsiTheme="minorEastAsia" w:eastAsiaTheme="minorEastAsia"/>
          <w:color w:val="auto"/>
          <w:sz w:val="24"/>
          <w:szCs w:val="24"/>
        </w:rPr>
        <w:t>。</w:t>
      </w:r>
    </w:p>
    <w:p>
      <w:pPr>
        <w:adjustRightInd w:val="0"/>
        <w:spacing w:line="360" w:lineRule="auto"/>
        <w:ind w:firstLine="480" w:firstLineChars="200"/>
        <w:rPr>
          <w:rFonts w:hint="default" w:asciiTheme="minorEastAsia" w:hAnsiTheme="minorEastAsia" w:eastAsiaTheme="minorEastAsia"/>
          <w:sz w:val="24"/>
          <w:szCs w:val="24"/>
        </w:rPr>
      </w:pPr>
      <w:r>
        <w:rPr>
          <w:rFonts w:hint="eastAsia" w:cs="宋体" w:asciiTheme="minorEastAsia" w:hAnsiTheme="minorEastAsia" w:eastAsiaTheme="minorEastAsia"/>
          <w:sz w:val="24"/>
          <w:szCs w:val="24"/>
        </w:rPr>
        <w:t>十</w:t>
      </w:r>
      <w:r>
        <w:rPr>
          <w:rFonts w:hint="default" w:cs="宋体" w:asciiTheme="minorEastAsia" w:hAnsiTheme="minorEastAsia" w:eastAsiaTheme="minorEastAsia"/>
          <w:sz w:val="24"/>
          <w:szCs w:val="24"/>
        </w:rPr>
        <w:t>、</w:t>
      </w:r>
      <w:r>
        <w:rPr>
          <w:rFonts w:hint="eastAsia" w:cs="宋体" w:asciiTheme="minorEastAsia" w:hAnsiTheme="minorEastAsia" w:eastAsiaTheme="minorEastAsia"/>
          <w:sz w:val="24"/>
          <w:szCs w:val="24"/>
        </w:rPr>
        <w:t>公告期限：3个工作日</w:t>
      </w:r>
      <w:r>
        <w:rPr>
          <w:rFonts w:hint="default" w:cs="宋体" w:asciiTheme="minorEastAsia" w:hAnsiTheme="minorEastAsia" w:eastAsiaTheme="minorEastAsia"/>
          <w:sz w:val="24"/>
          <w:szCs w:val="24"/>
        </w:rPr>
        <w:t>。</w:t>
      </w:r>
    </w:p>
    <w:p>
      <w:pPr>
        <w:adjustRightInd w:val="0"/>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十一</w:t>
      </w:r>
      <w:r>
        <w:rPr>
          <w:rFonts w:hint="default" w:cs="宋体" w:asciiTheme="minorEastAsia" w:hAnsiTheme="minorEastAsia" w:eastAsiaTheme="minorEastAsia"/>
          <w:sz w:val="24"/>
          <w:szCs w:val="24"/>
        </w:rPr>
        <w:t>、</w:t>
      </w:r>
      <w:r>
        <w:rPr>
          <w:rFonts w:hint="eastAsia" w:cs="宋体" w:asciiTheme="minorEastAsia" w:hAnsiTheme="minorEastAsia" w:eastAsiaTheme="minorEastAsia"/>
          <w:sz w:val="24"/>
          <w:szCs w:val="24"/>
        </w:rPr>
        <w:t>联系方式：</w:t>
      </w:r>
    </w:p>
    <w:p>
      <w:pPr>
        <w:adjustRightIn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w:t>
      </w:r>
      <w:r>
        <w:rPr>
          <w:rFonts w:hint="default" w:cs="宋体" w:asciiTheme="minorEastAsia" w:hAnsiTheme="minorEastAsia" w:eastAsiaTheme="minorEastAsia"/>
          <w:sz w:val="24"/>
          <w:szCs w:val="24"/>
        </w:rPr>
        <w:t>.</w:t>
      </w:r>
      <w:r>
        <w:rPr>
          <w:rFonts w:hint="eastAsia" w:cs="宋体" w:asciiTheme="minorEastAsia" w:hAnsiTheme="minorEastAsia" w:eastAsiaTheme="minorEastAsia"/>
          <w:sz w:val="24"/>
          <w:szCs w:val="24"/>
        </w:rPr>
        <w:t>采购代理机构名称：绍兴明晨建设项目管理有限公司</w:t>
      </w:r>
    </w:p>
    <w:p>
      <w:pPr>
        <w:adjustRightIn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联系人：邹章杰</w:t>
      </w:r>
    </w:p>
    <w:p>
      <w:pPr>
        <w:adjustRightIn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联系电话：13958328279</w:t>
      </w:r>
    </w:p>
    <w:p>
      <w:pPr>
        <w:adjustRightIn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w:t>
      </w:r>
      <w:r>
        <w:rPr>
          <w:rFonts w:hint="default" w:cs="宋体" w:asciiTheme="minorEastAsia" w:hAnsiTheme="minorEastAsia" w:eastAsiaTheme="minorEastAsia"/>
          <w:sz w:val="24"/>
          <w:szCs w:val="24"/>
        </w:rPr>
        <w:t>.</w:t>
      </w:r>
      <w:r>
        <w:rPr>
          <w:rFonts w:hint="eastAsia" w:cs="宋体" w:asciiTheme="minorEastAsia" w:hAnsiTheme="minorEastAsia" w:eastAsiaTheme="minorEastAsia"/>
          <w:sz w:val="24"/>
          <w:szCs w:val="24"/>
        </w:rPr>
        <w:t>采购人名称：</w:t>
      </w:r>
      <w:r>
        <w:fldChar w:fldCharType="begin"/>
      </w:r>
      <w:r>
        <w:instrText xml:space="preserve"> HYPERLINK "http://www.baidu.com/link?url=bapJkMNmYQ-XwWEHVIXUz3OjHDFxehbrVPcJfut-0vGrGEHYeJ4N7p9g4O2RvZrGsedUhfXuAeQTqVXL4NNDUQCzT8cig6ayFA1UjbJRKvW" \t "https://www.baidu.com/_blank" </w:instrText>
      </w:r>
      <w:r>
        <w:fldChar w:fldCharType="separate"/>
      </w:r>
      <w:r>
        <w:rPr>
          <w:rFonts w:hint="eastAsia" w:ascii="宋体" w:hAnsi="宋体"/>
          <w:bCs/>
          <w:sz w:val="24"/>
          <w:lang w:eastAsia="zh-CN"/>
        </w:rPr>
        <w:t>绍兴市上虞</w:t>
      </w:r>
      <w:r>
        <w:rPr>
          <w:rFonts w:hint="eastAsia" w:ascii="宋体" w:hAnsi="宋体"/>
          <w:bCs/>
          <w:sz w:val="24"/>
          <w:lang w:val="en-US" w:eastAsia="zh-CN"/>
        </w:rPr>
        <w:t>城市建设集团</w:t>
      </w:r>
      <w:r>
        <w:rPr>
          <w:rFonts w:hint="eastAsia" w:ascii="宋体" w:hAnsi="宋体"/>
          <w:bCs/>
          <w:sz w:val="24"/>
          <w:lang w:eastAsia="zh-CN"/>
        </w:rPr>
        <w:t>有限公司</w:t>
      </w:r>
      <w:r>
        <w:rPr>
          <w:rFonts w:hint="eastAsia" w:ascii="宋体" w:hAnsi="宋体"/>
          <w:bCs/>
          <w:sz w:val="24"/>
        </w:rPr>
        <w:fldChar w:fldCharType="end"/>
      </w:r>
    </w:p>
    <w:p>
      <w:pPr>
        <w:spacing w:line="360" w:lineRule="auto"/>
        <w:ind w:firstLine="480" w:firstLineChars="200"/>
        <w:rPr>
          <w:rFonts w:ascii="宋体" w:hAnsi="宋体" w:cs="宋体"/>
          <w:sz w:val="24"/>
          <w:szCs w:val="32"/>
        </w:rPr>
      </w:pPr>
      <w:r>
        <w:rPr>
          <w:rFonts w:hint="eastAsia" w:ascii="宋体" w:hAnsi="宋体" w:cs="宋体"/>
          <w:sz w:val="24"/>
          <w:szCs w:val="32"/>
        </w:rPr>
        <w:t xml:space="preserve">联系人：罗先生  </w:t>
      </w:r>
    </w:p>
    <w:p>
      <w:pPr>
        <w:spacing w:line="360" w:lineRule="auto"/>
        <w:ind w:firstLine="480" w:firstLineChars="200"/>
        <w:rPr>
          <w:rFonts w:hint="default" w:ascii="宋体" w:hAnsi="宋体" w:eastAsia="宋体" w:cs="宋体"/>
          <w:sz w:val="24"/>
          <w:szCs w:val="32"/>
          <w:lang w:val="en-US" w:eastAsia="zh-CN"/>
        </w:rPr>
      </w:pPr>
      <w:r>
        <w:rPr>
          <w:rFonts w:hint="eastAsia" w:ascii="宋体" w:hAnsi="宋体" w:cs="宋体"/>
          <w:sz w:val="24"/>
          <w:szCs w:val="32"/>
        </w:rPr>
        <w:t>联系电话</w:t>
      </w:r>
      <w:r>
        <w:rPr>
          <w:rFonts w:hint="eastAsia" w:ascii="宋体" w:hAnsi="宋体" w:cs="宋体"/>
          <w:color w:val="auto"/>
          <w:sz w:val="24"/>
          <w:szCs w:val="32"/>
        </w:rPr>
        <w:t xml:space="preserve">: </w:t>
      </w:r>
      <w:r>
        <w:rPr>
          <w:rFonts w:hint="eastAsia" w:ascii="宋体" w:hAnsi="宋体"/>
          <w:color w:val="auto"/>
          <w:sz w:val="24"/>
          <w:szCs w:val="24"/>
        </w:rPr>
        <w:t>0575-</w:t>
      </w:r>
      <w:r>
        <w:rPr>
          <w:rFonts w:hint="eastAsia" w:ascii="宋体" w:hAnsi="宋体"/>
          <w:color w:val="auto"/>
          <w:sz w:val="24"/>
          <w:szCs w:val="24"/>
          <w:lang w:val="en-US" w:eastAsia="zh-CN"/>
        </w:rPr>
        <w:t>81227806</w:t>
      </w:r>
    </w:p>
    <w:p>
      <w:pPr>
        <w:adjustRightInd w:val="0"/>
        <w:spacing w:line="360" w:lineRule="auto"/>
        <w:ind w:firstLine="480" w:firstLineChars="200"/>
        <w:rPr>
          <w:rFonts w:asciiTheme="minorEastAsia" w:hAnsiTheme="minorEastAsia" w:eastAsiaTheme="minorEastAsia"/>
          <w:sz w:val="24"/>
          <w:szCs w:val="24"/>
        </w:rPr>
      </w:pPr>
      <w:r>
        <w:rPr>
          <w:rFonts w:hint="eastAsia" w:ascii="宋体" w:hAnsi="宋体" w:cs="宋体"/>
          <w:sz w:val="24"/>
          <w:szCs w:val="32"/>
        </w:rPr>
        <w:t>地址：绍兴市上虞区</w:t>
      </w:r>
    </w:p>
    <w:p>
      <w:pPr>
        <w:spacing w:line="360" w:lineRule="auto"/>
        <w:jc w:val="center"/>
        <w:outlineLvl w:val="0"/>
        <w:rPr>
          <w:rFonts w:asciiTheme="minorEastAsia" w:hAnsiTheme="minorEastAsia" w:eastAsiaTheme="minorEastAsia"/>
          <w:b/>
          <w:bCs/>
          <w:sz w:val="36"/>
          <w:szCs w:val="36"/>
        </w:rPr>
      </w:pPr>
      <w:r>
        <w:rPr>
          <w:rFonts w:asciiTheme="minorEastAsia" w:hAnsiTheme="minorEastAsia" w:eastAsiaTheme="minorEastAsia"/>
          <w:b/>
          <w:bCs/>
          <w:sz w:val="36"/>
          <w:szCs w:val="36"/>
        </w:rPr>
        <w:br w:type="page"/>
      </w:r>
      <w:bookmarkStart w:id="7" w:name="_Toc29834"/>
      <w:bookmarkStart w:id="8" w:name="_Toc546"/>
      <w:bookmarkStart w:id="9" w:name="_Toc110244146"/>
      <w:r>
        <w:rPr>
          <w:rStyle w:val="34"/>
          <w:rFonts w:hint="eastAsia" w:cs="宋体" w:asciiTheme="minorEastAsia" w:hAnsiTheme="minorEastAsia" w:eastAsiaTheme="minorEastAsia"/>
          <w:sz w:val="36"/>
          <w:szCs w:val="36"/>
        </w:rPr>
        <w:t>第二部分</w:t>
      </w:r>
      <w:bookmarkEnd w:id="3"/>
      <w:bookmarkEnd w:id="4"/>
      <w:r>
        <w:rPr>
          <w:rStyle w:val="34"/>
          <w:rFonts w:hint="eastAsia" w:cs="宋体" w:asciiTheme="minorEastAsia" w:hAnsiTheme="minorEastAsia" w:eastAsiaTheme="minorEastAsia"/>
          <w:sz w:val="36"/>
          <w:szCs w:val="36"/>
        </w:rPr>
        <w:t>供应商须知</w:t>
      </w:r>
      <w:bookmarkEnd w:id="7"/>
      <w:bookmarkEnd w:id="8"/>
      <w:bookmarkEnd w:id="9"/>
    </w:p>
    <w:p>
      <w:pPr>
        <w:widowControl/>
        <w:adjustRightInd w:val="0"/>
        <w:snapToGrid w:val="0"/>
        <w:spacing w:line="360" w:lineRule="auto"/>
        <w:jc w:val="center"/>
        <w:rPr>
          <w:rFonts w:asciiTheme="minorEastAsia" w:hAnsiTheme="minorEastAsia" w:eastAsiaTheme="minorEastAsia"/>
          <w:b/>
          <w:bCs/>
          <w:snapToGrid w:val="0"/>
          <w:sz w:val="32"/>
          <w:szCs w:val="32"/>
        </w:rPr>
      </w:pPr>
      <w:r>
        <w:rPr>
          <w:rFonts w:hint="eastAsia" w:cs="宋体" w:asciiTheme="minorEastAsia" w:hAnsiTheme="minorEastAsia" w:eastAsiaTheme="minorEastAsia"/>
          <w:b/>
          <w:bCs/>
          <w:snapToGrid w:val="0"/>
          <w:sz w:val="30"/>
          <w:szCs w:val="30"/>
        </w:rPr>
        <w:t>供应商须知前附表</w:t>
      </w:r>
    </w:p>
    <w:tbl>
      <w:tblPr>
        <w:tblStyle w:val="26"/>
        <w:tblW w:w="913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907"/>
        <w:gridCol w:w="657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tblHeader/>
          <w:jc w:val="center"/>
        </w:trPr>
        <w:tc>
          <w:tcPr>
            <w:tcW w:w="648" w:type="dxa"/>
            <w:tcBorders>
              <w:top w:val="double" w:color="auto" w:sz="4" w:space="0"/>
            </w:tcBorders>
            <w:vAlign w:val="center"/>
          </w:tcPr>
          <w:p>
            <w:pPr>
              <w:snapToGrid w:val="0"/>
              <w:jc w:val="center"/>
              <w:rPr>
                <w:rFonts w:asciiTheme="minorEastAsia" w:hAnsiTheme="minorEastAsia" w:eastAsiaTheme="minorEastAsia"/>
                <w:b/>
                <w:bCs/>
                <w:snapToGrid w:val="0"/>
              </w:rPr>
            </w:pPr>
            <w:r>
              <w:rPr>
                <w:rFonts w:hint="eastAsia" w:cs="宋体" w:asciiTheme="minorEastAsia" w:hAnsiTheme="minorEastAsia" w:eastAsiaTheme="minorEastAsia"/>
                <w:b/>
                <w:bCs/>
                <w:snapToGrid w:val="0"/>
              </w:rPr>
              <w:t>序号</w:t>
            </w:r>
          </w:p>
        </w:tc>
        <w:tc>
          <w:tcPr>
            <w:tcW w:w="1907" w:type="dxa"/>
            <w:tcBorders>
              <w:top w:val="double" w:color="auto" w:sz="4" w:space="0"/>
            </w:tcBorders>
            <w:vAlign w:val="center"/>
          </w:tcPr>
          <w:p>
            <w:pPr>
              <w:snapToGrid w:val="0"/>
              <w:jc w:val="center"/>
              <w:rPr>
                <w:rFonts w:asciiTheme="minorEastAsia" w:hAnsiTheme="minorEastAsia" w:eastAsiaTheme="minorEastAsia"/>
                <w:b/>
                <w:bCs/>
                <w:snapToGrid w:val="0"/>
              </w:rPr>
            </w:pPr>
            <w:r>
              <w:rPr>
                <w:rFonts w:hint="eastAsia" w:cs="宋体" w:asciiTheme="minorEastAsia" w:hAnsiTheme="minorEastAsia" w:eastAsiaTheme="minorEastAsia"/>
                <w:b/>
                <w:bCs/>
                <w:snapToGrid w:val="0"/>
              </w:rPr>
              <w:t>项目</w:t>
            </w:r>
          </w:p>
        </w:tc>
        <w:tc>
          <w:tcPr>
            <w:tcW w:w="6575" w:type="dxa"/>
            <w:tcBorders>
              <w:top w:val="double" w:color="auto" w:sz="4" w:space="0"/>
            </w:tcBorders>
            <w:vAlign w:val="center"/>
          </w:tcPr>
          <w:p>
            <w:pPr>
              <w:snapToGrid w:val="0"/>
              <w:jc w:val="center"/>
              <w:rPr>
                <w:rFonts w:asciiTheme="minorEastAsia" w:hAnsiTheme="minorEastAsia" w:eastAsiaTheme="minorEastAsia"/>
                <w:b/>
                <w:bCs/>
                <w:snapToGrid w:val="0"/>
              </w:rPr>
            </w:pPr>
            <w:r>
              <w:rPr>
                <w:rFonts w:hint="eastAsia" w:cs="宋体" w:asciiTheme="minorEastAsia" w:hAnsiTheme="minorEastAsia" w:eastAsiaTheme="minorEastAsia"/>
                <w:b/>
                <w:bCs/>
                <w:snapToGrid w:val="0"/>
              </w:rPr>
              <w:t>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7" w:hRule="atLeast"/>
          <w:jc w:val="center"/>
        </w:trPr>
        <w:tc>
          <w:tcPr>
            <w:tcW w:w="648" w:type="dxa"/>
            <w:vAlign w:val="center"/>
          </w:tcPr>
          <w:p>
            <w:pPr>
              <w:snapToGrid w:val="0"/>
              <w:jc w:val="center"/>
              <w:rPr>
                <w:rFonts w:asciiTheme="minorEastAsia" w:hAnsiTheme="minorEastAsia" w:eastAsiaTheme="minorEastAsia"/>
                <w:snapToGrid w:val="0"/>
              </w:rPr>
            </w:pPr>
            <w:r>
              <w:rPr>
                <w:rFonts w:cs="宋体" w:asciiTheme="minorEastAsia" w:hAnsiTheme="minorEastAsia" w:eastAsiaTheme="minorEastAsia"/>
                <w:snapToGrid w:val="0"/>
              </w:rPr>
              <w:t>1</w:t>
            </w:r>
          </w:p>
        </w:tc>
        <w:tc>
          <w:tcPr>
            <w:tcW w:w="1907" w:type="dxa"/>
            <w:vAlign w:val="center"/>
          </w:tcPr>
          <w:p>
            <w:pPr>
              <w:snapToGrid w:val="0"/>
              <w:jc w:val="center"/>
              <w:rPr>
                <w:rFonts w:asciiTheme="minorEastAsia" w:hAnsiTheme="minorEastAsia" w:eastAsiaTheme="minorEastAsia"/>
                <w:snapToGrid w:val="0"/>
              </w:rPr>
            </w:pPr>
            <w:r>
              <w:rPr>
                <w:rFonts w:hint="eastAsia" w:cs="宋体" w:asciiTheme="minorEastAsia" w:hAnsiTheme="minorEastAsia" w:eastAsiaTheme="minorEastAsia"/>
                <w:snapToGrid w:val="0"/>
              </w:rPr>
              <w:t>项目名称</w:t>
            </w:r>
          </w:p>
        </w:tc>
        <w:tc>
          <w:tcPr>
            <w:tcW w:w="6575" w:type="dxa"/>
            <w:vAlign w:val="center"/>
          </w:tcPr>
          <w:p>
            <w:pPr>
              <w:snapToGrid w:val="0"/>
              <w:ind w:firstLine="400" w:firstLineChars="200"/>
              <w:rPr>
                <w:rFonts w:hint="eastAsia" w:asciiTheme="minorEastAsia" w:hAnsiTheme="minorEastAsia" w:eastAsiaTheme="minorEastAsia"/>
                <w:snapToGrid w:val="0"/>
                <w:lang w:eastAsia="zh-CN"/>
              </w:rPr>
            </w:pPr>
            <w:r>
              <w:rPr>
                <w:rFonts w:hint="eastAsia" w:cs="宋体" w:asciiTheme="minorEastAsia" w:hAnsiTheme="minorEastAsia" w:eastAsiaTheme="minorEastAsia"/>
                <w:snapToGrid w:val="0"/>
                <w:lang w:eastAsia="zh-CN"/>
              </w:rPr>
              <w:t>建设大厦食堂设施设备采购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7" w:hRule="atLeast"/>
          <w:jc w:val="center"/>
        </w:trPr>
        <w:tc>
          <w:tcPr>
            <w:tcW w:w="648" w:type="dxa"/>
            <w:vAlign w:val="center"/>
          </w:tcPr>
          <w:p>
            <w:pPr>
              <w:snapToGrid w:val="0"/>
              <w:jc w:val="center"/>
              <w:rPr>
                <w:rFonts w:asciiTheme="minorEastAsia" w:hAnsiTheme="minorEastAsia" w:eastAsiaTheme="minorEastAsia"/>
                <w:snapToGrid w:val="0"/>
              </w:rPr>
            </w:pPr>
            <w:r>
              <w:rPr>
                <w:rFonts w:cs="宋体" w:asciiTheme="minorEastAsia" w:hAnsiTheme="minorEastAsia" w:eastAsiaTheme="minorEastAsia"/>
                <w:snapToGrid w:val="0"/>
              </w:rPr>
              <w:t>2</w:t>
            </w:r>
          </w:p>
        </w:tc>
        <w:tc>
          <w:tcPr>
            <w:tcW w:w="1907" w:type="dxa"/>
            <w:vAlign w:val="center"/>
          </w:tcPr>
          <w:p>
            <w:pPr>
              <w:snapToGrid w:val="0"/>
              <w:jc w:val="center"/>
              <w:rPr>
                <w:rFonts w:asciiTheme="minorEastAsia" w:hAnsiTheme="minorEastAsia" w:eastAsiaTheme="minorEastAsia"/>
                <w:snapToGrid w:val="0"/>
              </w:rPr>
            </w:pPr>
            <w:r>
              <w:rPr>
                <w:rFonts w:hint="eastAsia" w:cs="宋体" w:asciiTheme="minorEastAsia" w:hAnsiTheme="minorEastAsia" w:eastAsiaTheme="minorEastAsia"/>
                <w:snapToGrid w:val="0"/>
              </w:rPr>
              <w:t>项目实施时间</w:t>
            </w:r>
          </w:p>
        </w:tc>
        <w:tc>
          <w:tcPr>
            <w:tcW w:w="6575" w:type="dxa"/>
            <w:vAlign w:val="center"/>
          </w:tcPr>
          <w:p>
            <w:pPr>
              <w:ind w:firstLine="402" w:firstLineChars="200"/>
              <w:rPr>
                <w:rFonts w:asciiTheme="minorEastAsia" w:hAnsiTheme="minorEastAsia" w:eastAsiaTheme="minorEastAsia"/>
                <w:b/>
                <w:bCs/>
              </w:rPr>
            </w:pPr>
            <w:r>
              <w:rPr>
                <w:rFonts w:hint="eastAsia" w:ascii="宋体" w:hAnsi="宋体" w:cs="宋体"/>
                <w:b/>
                <w:bCs/>
                <w:snapToGrid w:val="0"/>
                <w:szCs w:val="21"/>
              </w:rPr>
              <w:t>自合同签订之日起至合同履行完毕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7" w:hRule="atLeast"/>
          <w:jc w:val="center"/>
        </w:trPr>
        <w:tc>
          <w:tcPr>
            <w:tcW w:w="648" w:type="dxa"/>
            <w:vAlign w:val="center"/>
          </w:tcPr>
          <w:p>
            <w:pPr>
              <w:snapToGrid w:val="0"/>
              <w:jc w:val="center"/>
              <w:rPr>
                <w:rFonts w:asciiTheme="minorEastAsia" w:hAnsiTheme="minorEastAsia" w:eastAsiaTheme="minorEastAsia"/>
                <w:snapToGrid w:val="0"/>
              </w:rPr>
            </w:pPr>
            <w:r>
              <w:rPr>
                <w:rFonts w:cs="宋体" w:asciiTheme="minorEastAsia" w:hAnsiTheme="minorEastAsia" w:eastAsiaTheme="minorEastAsia"/>
                <w:snapToGrid w:val="0"/>
              </w:rPr>
              <w:t>3</w:t>
            </w:r>
          </w:p>
        </w:tc>
        <w:tc>
          <w:tcPr>
            <w:tcW w:w="1907" w:type="dxa"/>
            <w:vAlign w:val="center"/>
          </w:tcPr>
          <w:p>
            <w:pPr>
              <w:snapToGrid w:val="0"/>
              <w:jc w:val="center"/>
              <w:rPr>
                <w:rFonts w:asciiTheme="minorEastAsia" w:hAnsiTheme="minorEastAsia" w:eastAsiaTheme="minorEastAsia"/>
                <w:b/>
                <w:bCs/>
                <w:snapToGrid w:val="0"/>
              </w:rPr>
            </w:pPr>
            <w:r>
              <w:rPr>
                <w:rFonts w:hint="eastAsia" w:cs="宋体" w:asciiTheme="minorEastAsia" w:hAnsiTheme="minorEastAsia" w:eastAsiaTheme="minorEastAsia"/>
                <w:b/>
                <w:bCs/>
                <w:snapToGrid w:val="0"/>
              </w:rPr>
              <w:t>最高限价</w:t>
            </w:r>
          </w:p>
        </w:tc>
        <w:tc>
          <w:tcPr>
            <w:tcW w:w="6575" w:type="dxa"/>
            <w:vAlign w:val="center"/>
          </w:tcPr>
          <w:p>
            <w:pPr>
              <w:snapToGrid w:val="0"/>
              <w:ind w:firstLine="400" w:firstLineChars="200"/>
              <w:rPr>
                <w:rFonts w:asciiTheme="minorEastAsia" w:hAnsiTheme="minorEastAsia" w:eastAsiaTheme="minorEastAsia"/>
                <w:b/>
                <w:bCs/>
                <w:snapToGrid w:val="0"/>
              </w:rPr>
            </w:pPr>
            <w:r>
              <w:rPr>
                <w:rFonts w:hint="eastAsia" w:cs="宋体" w:asciiTheme="minorEastAsia" w:hAnsiTheme="minorEastAsia" w:eastAsiaTheme="minorEastAsia"/>
              </w:rPr>
              <w:t>本项目最高限价为人民</w:t>
            </w:r>
            <w:r>
              <w:rPr>
                <w:rFonts w:hint="eastAsia" w:cs="宋体" w:asciiTheme="minorEastAsia" w:hAnsiTheme="minorEastAsia" w:eastAsiaTheme="minorEastAsia"/>
                <w:color w:val="auto"/>
              </w:rPr>
              <w:t>币</w:t>
            </w:r>
            <w:r>
              <w:rPr>
                <w:rFonts w:hint="eastAsia" w:cs="宋体" w:asciiTheme="minorEastAsia" w:hAnsiTheme="minorEastAsia" w:eastAsiaTheme="minorEastAsia"/>
                <w:color w:val="auto"/>
                <w:u w:val="single"/>
                <w:lang w:eastAsia="zh-CN"/>
              </w:rPr>
              <w:t>650000</w:t>
            </w:r>
            <w:r>
              <w:rPr>
                <w:rFonts w:hint="eastAsia" w:cs="宋体" w:asciiTheme="minorEastAsia" w:hAnsiTheme="minorEastAsia" w:eastAsiaTheme="minorEastAsia"/>
                <w:color w:val="auto"/>
              </w:rPr>
              <w:t>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Theme="minorEastAsia" w:hAnsiTheme="minorEastAsia" w:eastAsiaTheme="minorEastAsia"/>
                <w:snapToGrid w:val="0"/>
              </w:rPr>
            </w:pPr>
            <w:r>
              <w:rPr>
                <w:rFonts w:cs="宋体" w:asciiTheme="minorEastAsia" w:hAnsiTheme="minorEastAsia" w:eastAsiaTheme="minorEastAsia"/>
                <w:snapToGrid w:val="0"/>
              </w:rPr>
              <w:t xml:space="preserve">                                                                                                   4</w:t>
            </w:r>
          </w:p>
        </w:tc>
        <w:tc>
          <w:tcPr>
            <w:tcW w:w="1907" w:type="dxa"/>
            <w:vAlign w:val="center"/>
          </w:tcPr>
          <w:p>
            <w:pPr>
              <w:snapToGrid w:val="0"/>
              <w:jc w:val="center"/>
              <w:rPr>
                <w:rFonts w:asciiTheme="minorEastAsia" w:hAnsiTheme="minorEastAsia" w:eastAsiaTheme="minorEastAsia"/>
                <w:snapToGrid w:val="0"/>
              </w:rPr>
            </w:pPr>
            <w:r>
              <w:rPr>
                <w:rFonts w:hint="eastAsia" w:cs="宋体" w:asciiTheme="minorEastAsia" w:hAnsiTheme="minorEastAsia" w:eastAsiaTheme="minorEastAsia"/>
                <w:snapToGrid w:val="0"/>
              </w:rPr>
              <w:t>资格审查方式</w:t>
            </w:r>
          </w:p>
        </w:tc>
        <w:tc>
          <w:tcPr>
            <w:tcW w:w="6575" w:type="dxa"/>
            <w:vAlign w:val="center"/>
          </w:tcPr>
          <w:p>
            <w:pPr>
              <w:snapToGrid w:val="0"/>
              <w:ind w:firstLine="400" w:firstLineChars="200"/>
              <w:rPr>
                <w:rFonts w:asciiTheme="minorEastAsia" w:hAnsiTheme="minorEastAsia" w:eastAsiaTheme="minorEastAsia"/>
                <w:snapToGrid w:val="0"/>
              </w:rPr>
            </w:pPr>
            <w:r>
              <w:rPr>
                <w:rFonts w:hint="eastAsia" w:cs="宋体" w:asciiTheme="minorEastAsia" w:hAnsiTheme="minorEastAsia" w:eastAsiaTheme="minorEastAsia"/>
                <w:snapToGrid w:val="0"/>
              </w:rPr>
              <w:t>资格审查是指开标后，询价小组将依据法律法规和询价文件的规定对供应商的资格进行审查。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48" w:type="dxa"/>
            <w:vAlign w:val="center"/>
          </w:tcPr>
          <w:p>
            <w:pPr>
              <w:snapToGrid w:val="0"/>
              <w:jc w:val="center"/>
              <w:rPr>
                <w:rFonts w:asciiTheme="minorEastAsia" w:hAnsiTheme="minorEastAsia" w:eastAsiaTheme="minorEastAsia"/>
                <w:snapToGrid w:val="0"/>
              </w:rPr>
            </w:pPr>
            <w:r>
              <w:rPr>
                <w:rFonts w:cs="宋体" w:asciiTheme="minorEastAsia" w:hAnsiTheme="minorEastAsia" w:eastAsiaTheme="minorEastAsia"/>
                <w:snapToGrid w:val="0"/>
              </w:rPr>
              <w:t>5</w:t>
            </w:r>
          </w:p>
        </w:tc>
        <w:tc>
          <w:tcPr>
            <w:tcW w:w="1907" w:type="dxa"/>
            <w:vAlign w:val="center"/>
          </w:tcPr>
          <w:p>
            <w:pPr>
              <w:snapToGrid w:val="0"/>
              <w:jc w:val="center"/>
              <w:rPr>
                <w:rFonts w:asciiTheme="minorEastAsia" w:hAnsiTheme="minorEastAsia" w:eastAsiaTheme="minorEastAsia"/>
                <w:snapToGrid w:val="0"/>
              </w:rPr>
            </w:pPr>
            <w:r>
              <w:rPr>
                <w:rFonts w:hint="eastAsia" w:cs="宋体" w:asciiTheme="minorEastAsia" w:hAnsiTheme="minorEastAsia" w:eastAsiaTheme="minorEastAsia"/>
                <w:snapToGrid w:val="0"/>
              </w:rPr>
              <w:t>踏勘现场</w:t>
            </w:r>
          </w:p>
        </w:tc>
        <w:tc>
          <w:tcPr>
            <w:tcW w:w="6575" w:type="dxa"/>
            <w:vAlign w:val="center"/>
          </w:tcPr>
          <w:p>
            <w:pPr>
              <w:snapToGrid w:val="0"/>
              <w:ind w:firstLine="402" w:firstLineChars="200"/>
              <w:rPr>
                <w:rFonts w:asciiTheme="minorEastAsia" w:hAnsiTheme="minorEastAsia" w:eastAsiaTheme="minorEastAsia"/>
                <w:snapToGrid w:val="0"/>
              </w:rPr>
            </w:pPr>
            <w:r>
              <w:rPr>
                <w:rFonts w:hint="eastAsia" w:cs="宋体" w:asciiTheme="minorEastAsia" w:hAnsiTheme="minorEastAsia" w:eastAsiaTheme="minorEastAsia"/>
                <w:b/>
                <w:bCs/>
                <w:snapToGrid w:val="0"/>
              </w:rPr>
              <w:t>本项目不组织现场踏勘。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Theme="minorEastAsia" w:hAnsiTheme="minorEastAsia" w:eastAsiaTheme="minorEastAsia"/>
                <w:snapToGrid w:val="0"/>
              </w:rPr>
            </w:pPr>
            <w:r>
              <w:rPr>
                <w:rFonts w:cs="宋体" w:asciiTheme="minorEastAsia" w:hAnsiTheme="minorEastAsia" w:eastAsiaTheme="minorEastAsia"/>
                <w:snapToGrid w:val="0"/>
              </w:rPr>
              <w:t>6</w:t>
            </w:r>
          </w:p>
        </w:tc>
        <w:tc>
          <w:tcPr>
            <w:tcW w:w="1907" w:type="dxa"/>
            <w:vAlign w:val="center"/>
          </w:tcPr>
          <w:p>
            <w:pPr>
              <w:snapToGrid w:val="0"/>
              <w:jc w:val="center"/>
              <w:rPr>
                <w:rFonts w:asciiTheme="minorEastAsia" w:hAnsiTheme="minorEastAsia" w:eastAsiaTheme="minorEastAsia"/>
                <w:snapToGrid w:val="0"/>
              </w:rPr>
            </w:pPr>
            <w:r>
              <w:rPr>
                <w:rFonts w:hint="eastAsia" w:cs="宋体" w:asciiTheme="minorEastAsia" w:hAnsiTheme="minorEastAsia" w:eastAsiaTheme="minorEastAsia"/>
                <w:snapToGrid w:val="0"/>
              </w:rPr>
              <w:t>询问</w:t>
            </w:r>
          </w:p>
        </w:tc>
        <w:tc>
          <w:tcPr>
            <w:tcW w:w="6575" w:type="dxa"/>
            <w:vAlign w:val="center"/>
          </w:tcPr>
          <w:p>
            <w:pPr>
              <w:snapToGrid w:val="0"/>
              <w:ind w:firstLine="400" w:firstLineChars="200"/>
              <w:rPr>
                <w:rFonts w:asciiTheme="minorEastAsia" w:hAnsiTheme="minorEastAsia" w:eastAsiaTheme="minorEastAsia"/>
                <w:snapToGrid w:val="0"/>
              </w:rPr>
            </w:pPr>
            <w:r>
              <w:rPr>
                <w:rFonts w:hint="eastAsia" w:cs="宋体" w:asciiTheme="minorEastAsia" w:hAnsiTheme="minorEastAsia" w:eastAsiaTheme="minorEastAsia"/>
                <w:snapToGrid w:val="0"/>
              </w:rPr>
              <w:t>供应商对政府采购活动事项有疑问的，可以向采购机构提出询问，采购人或者招标代理机构应当在</w:t>
            </w:r>
            <w:r>
              <w:rPr>
                <w:rFonts w:cs="宋体" w:asciiTheme="minorEastAsia" w:hAnsiTheme="minorEastAsia" w:eastAsiaTheme="minorEastAsia"/>
                <w:snapToGrid w:val="0"/>
              </w:rPr>
              <w:t>3</w:t>
            </w:r>
            <w:r>
              <w:rPr>
                <w:rFonts w:hint="eastAsia" w:cs="宋体" w:asciiTheme="minorEastAsia" w:hAnsiTheme="minorEastAsia" w:eastAsiaTheme="minorEastAsia"/>
                <w:snapToGrid w:val="0"/>
              </w:rPr>
              <w:t>个工作日内对供应商依法提出的询问作出答复，但答复的内容不得涉及商业秘密。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Theme="minorEastAsia" w:hAnsiTheme="minorEastAsia" w:eastAsiaTheme="minorEastAsia"/>
                <w:snapToGrid w:val="0"/>
              </w:rPr>
            </w:pPr>
            <w:r>
              <w:rPr>
                <w:rFonts w:cs="宋体" w:asciiTheme="minorEastAsia" w:hAnsiTheme="minorEastAsia" w:eastAsiaTheme="minorEastAsia"/>
                <w:snapToGrid w:val="0"/>
              </w:rPr>
              <w:t>7</w:t>
            </w:r>
          </w:p>
        </w:tc>
        <w:tc>
          <w:tcPr>
            <w:tcW w:w="1907" w:type="dxa"/>
            <w:vAlign w:val="center"/>
          </w:tcPr>
          <w:p>
            <w:pPr>
              <w:snapToGrid w:val="0"/>
              <w:jc w:val="center"/>
              <w:rPr>
                <w:rFonts w:asciiTheme="minorEastAsia" w:hAnsiTheme="minorEastAsia" w:eastAsiaTheme="minorEastAsia"/>
                <w:snapToGrid w:val="0"/>
              </w:rPr>
            </w:pPr>
            <w:r>
              <w:rPr>
                <w:rFonts w:hint="eastAsia" w:cs="宋体" w:asciiTheme="minorEastAsia" w:hAnsiTheme="minorEastAsia" w:eastAsiaTheme="minorEastAsia"/>
                <w:snapToGrid w:val="0"/>
              </w:rPr>
              <w:t>询价文件的澄清与修改</w:t>
            </w:r>
          </w:p>
        </w:tc>
        <w:tc>
          <w:tcPr>
            <w:tcW w:w="6575" w:type="dxa"/>
            <w:vAlign w:val="center"/>
          </w:tcPr>
          <w:p>
            <w:pPr>
              <w:snapToGrid w:val="0"/>
              <w:ind w:firstLine="400" w:firstLineChars="200"/>
              <w:rPr>
                <w:rFonts w:asciiTheme="minorEastAsia" w:hAnsiTheme="minorEastAsia" w:eastAsiaTheme="minorEastAsia"/>
                <w:snapToGrid w:val="0"/>
              </w:rPr>
            </w:pPr>
            <w:r>
              <w:rPr>
                <w:rFonts w:hint="eastAsia" w:cs="宋体" w:asciiTheme="minorEastAsia" w:hAnsiTheme="minorEastAsia" w:eastAsiaTheme="minorEastAsia"/>
                <w:snapToGrid w:val="0"/>
              </w:rPr>
              <w:t>采购单位可以对已发出的询价文件进行必要澄清或者修改，澄清或者修改的内容可能影响响应文件编制的，应当在提交首次响应文件截止时间至少3日前，在询价公告发布的媒体上发布更正公告。本项目询价文件和补充（答疑、澄清）、修改文件等请自行登录浙江政府采购网或绍兴市上虞区公共资源交易中心网站查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Theme="minorEastAsia" w:hAnsiTheme="minorEastAsia" w:eastAsiaTheme="minorEastAsia"/>
                <w:snapToGrid w:val="0"/>
              </w:rPr>
            </w:pPr>
            <w:r>
              <w:rPr>
                <w:rFonts w:cs="宋体" w:asciiTheme="minorEastAsia" w:hAnsiTheme="minorEastAsia" w:eastAsiaTheme="minorEastAsia"/>
                <w:snapToGrid w:val="0"/>
              </w:rPr>
              <w:t>8</w:t>
            </w:r>
          </w:p>
        </w:tc>
        <w:tc>
          <w:tcPr>
            <w:tcW w:w="1907" w:type="dxa"/>
            <w:vAlign w:val="center"/>
          </w:tcPr>
          <w:p>
            <w:pPr>
              <w:snapToGrid w:val="0"/>
              <w:jc w:val="center"/>
              <w:rPr>
                <w:rFonts w:asciiTheme="minorEastAsia" w:hAnsiTheme="minorEastAsia" w:eastAsiaTheme="minorEastAsia"/>
                <w:snapToGrid w:val="0"/>
              </w:rPr>
            </w:pPr>
            <w:r>
              <w:rPr>
                <w:rFonts w:hint="eastAsia" w:cs="宋体" w:asciiTheme="minorEastAsia" w:hAnsiTheme="minorEastAsia" w:eastAsiaTheme="minorEastAsia"/>
                <w:snapToGrid w:val="0"/>
              </w:rPr>
              <w:t>询价响应文件组成</w:t>
            </w:r>
          </w:p>
        </w:tc>
        <w:tc>
          <w:tcPr>
            <w:tcW w:w="6575" w:type="dxa"/>
            <w:vAlign w:val="center"/>
          </w:tcPr>
          <w:p>
            <w:pPr>
              <w:snapToGrid w:val="0"/>
              <w:ind w:firstLine="400" w:firstLineChars="200"/>
              <w:rPr>
                <w:rFonts w:asciiTheme="minorEastAsia" w:hAnsiTheme="minorEastAsia" w:eastAsiaTheme="minorEastAsia"/>
                <w:snapToGrid w:val="0"/>
              </w:rPr>
            </w:pPr>
            <w:r>
              <w:rPr>
                <w:rFonts w:hint="eastAsia" w:cs="宋体" w:asciiTheme="minorEastAsia" w:hAnsiTheme="minorEastAsia" w:eastAsiaTheme="minorEastAsia"/>
                <w:snapToGrid w:val="0"/>
              </w:rPr>
              <w:t>供应商向采购人递交的响应文件由资格文件、商务技术文件、报价文件三部分组成。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7" w:hRule="atLeast"/>
          <w:jc w:val="center"/>
        </w:trPr>
        <w:tc>
          <w:tcPr>
            <w:tcW w:w="648" w:type="dxa"/>
            <w:vAlign w:val="center"/>
          </w:tcPr>
          <w:p>
            <w:pPr>
              <w:snapToGrid w:val="0"/>
              <w:jc w:val="center"/>
              <w:rPr>
                <w:rFonts w:asciiTheme="minorEastAsia" w:hAnsiTheme="minorEastAsia" w:eastAsiaTheme="minorEastAsia"/>
                <w:snapToGrid w:val="0"/>
              </w:rPr>
            </w:pPr>
            <w:r>
              <w:rPr>
                <w:rFonts w:cs="宋体" w:asciiTheme="minorEastAsia" w:hAnsiTheme="minorEastAsia" w:eastAsiaTheme="minorEastAsia"/>
                <w:snapToGrid w:val="0"/>
              </w:rPr>
              <w:t>9</w:t>
            </w:r>
          </w:p>
        </w:tc>
        <w:tc>
          <w:tcPr>
            <w:tcW w:w="1907" w:type="dxa"/>
            <w:vAlign w:val="center"/>
          </w:tcPr>
          <w:p>
            <w:pPr>
              <w:snapToGrid w:val="0"/>
              <w:jc w:val="center"/>
              <w:rPr>
                <w:rFonts w:asciiTheme="minorEastAsia" w:hAnsiTheme="minorEastAsia" w:eastAsiaTheme="minorEastAsia"/>
                <w:snapToGrid w:val="0"/>
              </w:rPr>
            </w:pPr>
            <w:r>
              <w:rPr>
                <w:rFonts w:hint="eastAsia" w:cs="宋体" w:asciiTheme="minorEastAsia" w:hAnsiTheme="minorEastAsia" w:eastAsiaTheme="minorEastAsia"/>
                <w:snapToGrid w:val="0"/>
              </w:rPr>
              <w:t>评标办法</w:t>
            </w:r>
          </w:p>
        </w:tc>
        <w:tc>
          <w:tcPr>
            <w:tcW w:w="6575" w:type="dxa"/>
            <w:vAlign w:val="center"/>
          </w:tcPr>
          <w:p>
            <w:pPr>
              <w:snapToGrid w:val="0"/>
              <w:ind w:firstLine="400" w:firstLineChars="200"/>
              <w:rPr>
                <w:rFonts w:asciiTheme="minorEastAsia" w:hAnsiTheme="minorEastAsia" w:eastAsiaTheme="minorEastAsia"/>
                <w:snapToGrid w:val="0"/>
              </w:rPr>
            </w:pPr>
            <w:r>
              <w:rPr>
                <w:rFonts w:hint="eastAsia" w:cs="宋体" w:asciiTheme="minorEastAsia" w:hAnsiTheme="minorEastAsia" w:eastAsiaTheme="minorEastAsia"/>
                <w:snapToGrid w:val="0"/>
              </w:rPr>
              <w:t>最低评标价法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Theme="minorEastAsia" w:hAnsiTheme="minorEastAsia" w:eastAsiaTheme="minorEastAsia"/>
                <w:snapToGrid w:val="0"/>
              </w:rPr>
            </w:pPr>
            <w:r>
              <w:rPr>
                <w:rFonts w:cs="宋体" w:asciiTheme="minorEastAsia" w:hAnsiTheme="minorEastAsia" w:eastAsiaTheme="minorEastAsia"/>
                <w:snapToGrid w:val="0"/>
              </w:rPr>
              <w:t>10</w:t>
            </w:r>
          </w:p>
        </w:tc>
        <w:tc>
          <w:tcPr>
            <w:tcW w:w="1907" w:type="dxa"/>
            <w:vAlign w:val="center"/>
          </w:tcPr>
          <w:p>
            <w:pPr>
              <w:snapToGrid w:val="0"/>
              <w:jc w:val="center"/>
              <w:rPr>
                <w:rFonts w:asciiTheme="minorEastAsia" w:hAnsiTheme="minorEastAsia" w:eastAsiaTheme="minorEastAsia"/>
                <w:snapToGrid w:val="0"/>
              </w:rPr>
            </w:pPr>
            <w:r>
              <w:rPr>
                <w:rFonts w:hint="eastAsia" w:cs="宋体" w:asciiTheme="minorEastAsia" w:hAnsiTheme="minorEastAsia" w:eastAsiaTheme="minorEastAsia"/>
                <w:snapToGrid w:val="0"/>
              </w:rPr>
              <w:t>询价响应文件递交地址及截止时间</w:t>
            </w:r>
          </w:p>
        </w:tc>
        <w:tc>
          <w:tcPr>
            <w:tcW w:w="6575" w:type="dxa"/>
            <w:vAlign w:val="center"/>
          </w:tcPr>
          <w:p>
            <w:pPr>
              <w:snapToGrid w:val="0"/>
              <w:ind w:firstLine="400" w:firstLineChars="200"/>
              <w:rPr>
                <w:rFonts w:asciiTheme="minorEastAsia" w:hAnsiTheme="minorEastAsia" w:eastAsiaTheme="minorEastAsia"/>
              </w:rPr>
            </w:pPr>
            <w:r>
              <w:rPr>
                <w:rFonts w:hint="eastAsia" w:cs="宋体" w:asciiTheme="minorEastAsia" w:hAnsiTheme="minorEastAsia" w:eastAsiaTheme="minorEastAsia"/>
                <w:snapToGrid w:val="0"/>
              </w:rPr>
              <w:t>详见询价公告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Theme="minorEastAsia" w:hAnsiTheme="minorEastAsia" w:eastAsiaTheme="minorEastAsia"/>
                <w:snapToGrid w:val="0"/>
              </w:rPr>
            </w:pPr>
            <w:r>
              <w:rPr>
                <w:rFonts w:cs="宋体" w:asciiTheme="minorEastAsia" w:hAnsiTheme="minorEastAsia" w:eastAsiaTheme="minorEastAsia"/>
                <w:snapToGrid w:val="0"/>
              </w:rPr>
              <w:t>11</w:t>
            </w:r>
          </w:p>
        </w:tc>
        <w:tc>
          <w:tcPr>
            <w:tcW w:w="1907" w:type="dxa"/>
            <w:vAlign w:val="center"/>
          </w:tcPr>
          <w:p>
            <w:pPr>
              <w:snapToGrid w:val="0"/>
              <w:jc w:val="center"/>
              <w:rPr>
                <w:rFonts w:asciiTheme="minorEastAsia" w:hAnsiTheme="minorEastAsia" w:eastAsiaTheme="minorEastAsia"/>
                <w:snapToGrid w:val="0"/>
              </w:rPr>
            </w:pPr>
            <w:r>
              <w:rPr>
                <w:rFonts w:hint="eastAsia" w:cs="宋体" w:asciiTheme="minorEastAsia" w:hAnsiTheme="minorEastAsia" w:eastAsiaTheme="minorEastAsia"/>
                <w:snapToGrid w:val="0"/>
              </w:rPr>
              <w:t>开标时间、地点</w:t>
            </w:r>
          </w:p>
        </w:tc>
        <w:tc>
          <w:tcPr>
            <w:tcW w:w="6575" w:type="dxa"/>
            <w:vAlign w:val="center"/>
          </w:tcPr>
          <w:p>
            <w:pPr>
              <w:snapToGrid w:val="0"/>
              <w:ind w:firstLine="400" w:firstLineChars="200"/>
              <w:rPr>
                <w:rFonts w:asciiTheme="minorEastAsia" w:hAnsiTheme="minorEastAsia" w:eastAsiaTheme="minorEastAsia"/>
                <w:snapToGrid w:val="0"/>
              </w:rPr>
            </w:pPr>
            <w:r>
              <w:rPr>
                <w:rFonts w:hint="eastAsia" w:cs="宋体" w:asciiTheme="minorEastAsia" w:hAnsiTheme="minorEastAsia" w:eastAsiaTheme="minorEastAsia"/>
                <w:snapToGrid w:val="0"/>
              </w:rPr>
              <w:t>开标时间：</w:t>
            </w:r>
            <w:r>
              <w:rPr>
                <w:rFonts w:hint="eastAsia" w:cs="宋体" w:asciiTheme="minorEastAsia" w:hAnsiTheme="minorEastAsia" w:eastAsiaTheme="minorEastAsia"/>
              </w:rPr>
              <w:t>详见询价公告</w:t>
            </w:r>
          </w:p>
          <w:p>
            <w:pPr>
              <w:snapToGrid w:val="0"/>
              <w:ind w:firstLine="400" w:firstLineChars="200"/>
              <w:rPr>
                <w:rFonts w:asciiTheme="minorEastAsia" w:hAnsiTheme="minorEastAsia" w:eastAsiaTheme="minorEastAsia"/>
              </w:rPr>
            </w:pPr>
            <w:r>
              <w:rPr>
                <w:rFonts w:hint="eastAsia" w:cs="宋体" w:asciiTheme="minorEastAsia" w:hAnsiTheme="minorEastAsia" w:eastAsiaTheme="minorEastAsia"/>
                <w:snapToGrid w:val="0"/>
              </w:rPr>
              <w:t>开标地点：</w:t>
            </w:r>
            <w:r>
              <w:rPr>
                <w:rFonts w:hint="eastAsia" w:cs="宋体" w:asciiTheme="minorEastAsia" w:hAnsiTheme="minorEastAsia" w:eastAsiaTheme="minorEastAsia"/>
              </w:rPr>
              <w:t>详见询价公告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Theme="minorEastAsia" w:hAnsiTheme="minorEastAsia" w:eastAsiaTheme="minorEastAsia"/>
                <w:snapToGrid w:val="0"/>
              </w:rPr>
            </w:pPr>
            <w:r>
              <w:rPr>
                <w:rFonts w:cs="宋体" w:asciiTheme="minorEastAsia" w:hAnsiTheme="minorEastAsia" w:eastAsiaTheme="minorEastAsia"/>
                <w:snapToGrid w:val="0"/>
              </w:rPr>
              <w:t>12</w:t>
            </w:r>
          </w:p>
        </w:tc>
        <w:tc>
          <w:tcPr>
            <w:tcW w:w="1907" w:type="dxa"/>
            <w:vAlign w:val="center"/>
          </w:tcPr>
          <w:p>
            <w:pPr>
              <w:snapToGrid w:val="0"/>
              <w:jc w:val="center"/>
              <w:rPr>
                <w:rFonts w:asciiTheme="minorEastAsia" w:hAnsiTheme="minorEastAsia" w:eastAsiaTheme="minorEastAsia"/>
                <w:snapToGrid w:val="0"/>
              </w:rPr>
            </w:pPr>
            <w:r>
              <w:rPr>
                <w:rFonts w:hint="eastAsia" w:cs="宋体" w:asciiTheme="minorEastAsia" w:hAnsiTheme="minorEastAsia" w:eastAsiaTheme="minorEastAsia"/>
                <w:snapToGrid w:val="0"/>
              </w:rPr>
              <w:t>询价响应文件有效期</w:t>
            </w:r>
          </w:p>
        </w:tc>
        <w:tc>
          <w:tcPr>
            <w:tcW w:w="6575" w:type="dxa"/>
            <w:vAlign w:val="center"/>
          </w:tcPr>
          <w:p>
            <w:pPr>
              <w:snapToGrid w:val="0"/>
              <w:ind w:firstLine="400" w:firstLineChars="200"/>
              <w:rPr>
                <w:rFonts w:asciiTheme="minorEastAsia" w:hAnsiTheme="minorEastAsia" w:eastAsiaTheme="minorEastAsia"/>
                <w:snapToGrid w:val="0"/>
              </w:rPr>
            </w:pPr>
            <w:r>
              <w:rPr>
                <w:rFonts w:hint="eastAsia" w:cs="宋体" w:asciiTheme="minorEastAsia" w:hAnsiTheme="minorEastAsia" w:eastAsiaTheme="minorEastAsia"/>
                <w:snapToGrid w:val="0"/>
              </w:rPr>
              <w:t>响应文件有效期为从提交响应文件的截止之日起</w:t>
            </w:r>
            <w:r>
              <w:rPr>
                <w:rFonts w:cs="宋体" w:asciiTheme="minorEastAsia" w:hAnsiTheme="minorEastAsia" w:eastAsiaTheme="minorEastAsia"/>
                <w:snapToGrid w:val="0"/>
              </w:rPr>
              <w:t>90</w:t>
            </w:r>
            <w:r>
              <w:rPr>
                <w:rFonts w:hint="eastAsia" w:cs="宋体" w:asciiTheme="minorEastAsia" w:hAnsiTheme="minorEastAsia" w:eastAsiaTheme="minorEastAsia"/>
                <w:snapToGrid w:val="0"/>
              </w:rPr>
              <w:t>天。供应商的响应文件中承诺的响应文件有效期少于询价文件中载明的响应文件有效期的，询价无效。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cs="宋体" w:asciiTheme="minorEastAsia" w:hAnsiTheme="minorEastAsia" w:eastAsiaTheme="minorEastAsia"/>
                <w:snapToGrid w:val="0"/>
              </w:rPr>
            </w:pPr>
            <w:r>
              <w:rPr>
                <w:rFonts w:hint="eastAsia" w:cs="宋体" w:asciiTheme="minorEastAsia" w:hAnsiTheme="minorEastAsia" w:eastAsiaTheme="minorEastAsia"/>
                <w:snapToGrid w:val="0"/>
              </w:rPr>
              <w:t>13</w:t>
            </w:r>
          </w:p>
        </w:tc>
        <w:tc>
          <w:tcPr>
            <w:tcW w:w="1907" w:type="dxa"/>
            <w:vAlign w:val="center"/>
          </w:tcPr>
          <w:p>
            <w:pPr>
              <w:snapToGrid w:val="0"/>
              <w:jc w:val="center"/>
              <w:rPr>
                <w:rFonts w:cs="宋体" w:asciiTheme="minorEastAsia" w:hAnsiTheme="minorEastAsia" w:eastAsiaTheme="minorEastAsia"/>
                <w:snapToGrid w:val="0"/>
              </w:rPr>
            </w:pPr>
            <w:r>
              <w:rPr>
                <w:rFonts w:hint="eastAsia" w:cs="宋体" w:asciiTheme="minorEastAsia" w:hAnsiTheme="minorEastAsia" w:eastAsiaTheme="minorEastAsia"/>
                <w:snapToGrid w:val="0"/>
              </w:rPr>
              <w:t>询价保证金</w:t>
            </w:r>
          </w:p>
        </w:tc>
        <w:tc>
          <w:tcPr>
            <w:tcW w:w="6575" w:type="dxa"/>
            <w:vAlign w:val="center"/>
          </w:tcPr>
          <w:p>
            <w:pPr>
              <w:snapToGrid w:val="0"/>
              <w:ind w:firstLine="400" w:firstLineChars="200"/>
              <w:rPr>
                <w:rFonts w:hint="eastAsia" w:cs="宋体" w:asciiTheme="minorEastAsia" w:hAnsiTheme="minorEastAsia" w:eastAsiaTheme="minorEastAsia"/>
                <w:snapToGrid w:val="0"/>
                <w:lang w:val="en-US" w:eastAsia="zh-CN"/>
              </w:rPr>
            </w:pPr>
            <w:r>
              <w:rPr>
                <w:rFonts w:hint="eastAsia" w:cs="宋体" w:asciiTheme="minorEastAsia" w:hAnsiTheme="minorEastAsia" w:eastAsiaTheme="minorEastAsia"/>
                <w:snapToGrid w:val="0"/>
                <w:lang w:eastAsia="zh-CN"/>
              </w:rPr>
              <w:t>询价</w:t>
            </w:r>
            <w:r>
              <w:rPr>
                <w:rFonts w:hint="eastAsia" w:cs="宋体" w:asciiTheme="minorEastAsia" w:hAnsiTheme="minorEastAsia" w:eastAsiaTheme="minorEastAsia"/>
                <w:snapToGrid w:val="0"/>
              </w:rPr>
              <w:t>保证金：</w:t>
            </w:r>
            <w:r>
              <w:rPr>
                <w:rFonts w:hint="eastAsia" w:cs="宋体" w:asciiTheme="minorEastAsia" w:hAnsiTheme="minorEastAsia" w:eastAsiaTheme="minorEastAsia"/>
                <w:snapToGrid w:val="0"/>
                <w:u w:val="none"/>
                <w:lang w:val="en-US" w:eastAsia="zh-CN"/>
              </w:rPr>
              <w:t>人民币</w:t>
            </w:r>
            <w:r>
              <w:rPr>
                <w:rFonts w:hint="eastAsia" w:cs="宋体" w:asciiTheme="minorEastAsia" w:hAnsiTheme="minorEastAsia" w:eastAsiaTheme="minorEastAsia"/>
                <w:snapToGrid w:val="0"/>
                <w:u w:val="single"/>
                <w:lang w:val="en-US" w:eastAsia="zh-CN"/>
              </w:rPr>
              <w:t>陆仟</w:t>
            </w:r>
            <w:r>
              <w:rPr>
                <w:rFonts w:hint="eastAsia" w:cs="宋体" w:asciiTheme="minorEastAsia" w:hAnsiTheme="minorEastAsia" w:eastAsiaTheme="minorEastAsia"/>
                <w:snapToGrid w:val="0"/>
                <w:u w:val="none"/>
                <w:lang w:val="en-US" w:eastAsia="zh-CN"/>
              </w:rPr>
              <w:t>元整（小写：</w:t>
            </w:r>
            <w:r>
              <w:rPr>
                <w:rFonts w:hint="eastAsia" w:cs="宋体" w:asciiTheme="minorEastAsia" w:hAnsiTheme="minorEastAsia" w:eastAsiaTheme="minorEastAsia"/>
                <w:snapToGrid w:val="0"/>
                <w:u w:val="single"/>
                <w:lang w:val="en-US" w:eastAsia="zh-CN"/>
              </w:rPr>
              <w:t>6000元</w:t>
            </w:r>
            <w:r>
              <w:rPr>
                <w:rFonts w:hint="eastAsia" w:cs="宋体" w:asciiTheme="minorEastAsia" w:hAnsiTheme="minorEastAsia" w:eastAsiaTheme="minorEastAsia"/>
                <w:snapToGrid w:val="0"/>
                <w:u w:val="none"/>
                <w:lang w:val="en-US" w:eastAsia="zh-CN"/>
              </w:rPr>
              <w:t>）</w:t>
            </w:r>
          </w:p>
          <w:p>
            <w:pPr>
              <w:snapToGrid w:val="0"/>
              <w:ind w:firstLine="400" w:firstLineChars="200"/>
              <w:rPr>
                <w:rFonts w:hint="eastAsia" w:cs="宋体" w:asciiTheme="minorEastAsia" w:hAnsiTheme="minorEastAsia" w:eastAsiaTheme="minorEastAsia"/>
                <w:snapToGrid w:val="0"/>
                <w:lang w:val="en-US" w:eastAsia="zh-CN"/>
              </w:rPr>
            </w:pPr>
            <w:r>
              <w:rPr>
                <w:rFonts w:hint="eastAsia" w:cs="宋体" w:asciiTheme="minorEastAsia" w:hAnsiTheme="minorEastAsia" w:eastAsiaTheme="minorEastAsia"/>
                <w:snapToGrid w:val="0"/>
                <w:lang w:val="en-US" w:eastAsia="zh-CN"/>
              </w:rPr>
              <w:t>账户名称：绍兴明晨建设项目管理有限公司上虞分公司</w:t>
            </w:r>
          </w:p>
          <w:p>
            <w:pPr>
              <w:snapToGrid w:val="0"/>
              <w:ind w:firstLine="400" w:firstLineChars="200"/>
              <w:rPr>
                <w:rFonts w:hint="eastAsia" w:cs="宋体" w:asciiTheme="minorEastAsia" w:hAnsiTheme="minorEastAsia" w:eastAsiaTheme="minorEastAsia"/>
                <w:snapToGrid w:val="0"/>
                <w:lang w:val="en-US" w:eastAsia="zh-CN"/>
              </w:rPr>
            </w:pPr>
            <w:r>
              <w:rPr>
                <w:rFonts w:hint="eastAsia" w:cs="宋体" w:asciiTheme="minorEastAsia" w:hAnsiTheme="minorEastAsia" w:eastAsiaTheme="minorEastAsia"/>
                <w:snapToGrid w:val="0"/>
                <w:lang w:val="en-US" w:eastAsia="zh-CN"/>
              </w:rPr>
              <w:t>开户银行：浙江上虞农村商业银行股份有限公司虞城支行凤山分理处</w:t>
            </w:r>
          </w:p>
          <w:p>
            <w:pPr>
              <w:snapToGrid w:val="0"/>
              <w:ind w:firstLine="400" w:firstLineChars="200"/>
              <w:rPr>
                <w:rFonts w:hint="default" w:cs="宋体" w:asciiTheme="minorEastAsia" w:hAnsiTheme="minorEastAsia" w:eastAsiaTheme="minorEastAsia"/>
                <w:snapToGrid w:val="0"/>
                <w:lang w:val="en-US" w:eastAsia="zh-CN"/>
              </w:rPr>
            </w:pPr>
            <w:r>
              <w:rPr>
                <w:rFonts w:hint="eastAsia" w:cs="宋体" w:asciiTheme="minorEastAsia" w:hAnsiTheme="minorEastAsia" w:eastAsiaTheme="minorEastAsia"/>
                <w:snapToGrid w:val="0"/>
                <w:lang w:val="en-US" w:eastAsia="zh-CN"/>
              </w:rPr>
              <w:t>帐    号：201000153064798</w:t>
            </w:r>
          </w:p>
          <w:p>
            <w:pPr>
              <w:snapToGrid w:val="0"/>
              <w:ind w:firstLine="400" w:firstLineChars="200"/>
              <w:rPr>
                <w:rFonts w:hint="eastAsia" w:cs="宋体" w:asciiTheme="minorEastAsia" w:hAnsiTheme="minorEastAsia" w:eastAsiaTheme="minorEastAsia"/>
                <w:snapToGrid w:val="0"/>
                <w:lang w:val="en-US" w:eastAsia="zh-CN"/>
              </w:rPr>
            </w:pPr>
            <w:r>
              <w:rPr>
                <w:rFonts w:hint="eastAsia" w:cs="宋体" w:asciiTheme="minorEastAsia" w:hAnsiTheme="minorEastAsia" w:eastAsiaTheme="minorEastAsia"/>
                <w:snapToGrid w:val="0"/>
                <w:lang w:val="en-US" w:eastAsia="zh-CN"/>
              </w:rPr>
              <w:t>投标保证金的缴存方式：网上银行或柜面电汇或柜面行内转账</w:t>
            </w:r>
          </w:p>
          <w:p>
            <w:pPr>
              <w:snapToGrid w:val="0"/>
              <w:ind w:firstLine="400" w:firstLineChars="200"/>
              <w:rPr>
                <w:rFonts w:cs="宋体" w:asciiTheme="minorEastAsia" w:hAnsiTheme="minorEastAsia" w:eastAsiaTheme="minorEastAsia"/>
                <w:snapToGrid w:val="0"/>
              </w:rPr>
            </w:pPr>
            <w:r>
              <w:rPr>
                <w:rFonts w:hint="eastAsia" w:cs="宋体" w:asciiTheme="minorEastAsia" w:hAnsiTheme="minorEastAsia" w:eastAsiaTheme="minorEastAsia"/>
                <w:snapToGrid w:val="0"/>
                <w:lang w:val="en-US" w:eastAsia="zh-CN"/>
              </w:rPr>
              <w:t>投标保证金的缴存时间：投标保证金应在投标文件截止时间之前到账，按不少于规定的金额交纳投标保证金，投标保证金以到账时间为准。若产生到账时间晚于保证金缴存截止时间或缴纳不足额，一律视为不响应招标文件，投标文件按无效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648" w:type="dxa"/>
            <w:vAlign w:val="center"/>
          </w:tcPr>
          <w:p>
            <w:pPr>
              <w:snapToGrid w:val="0"/>
              <w:jc w:val="center"/>
              <w:rPr>
                <w:rFonts w:asciiTheme="minorEastAsia" w:hAnsiTheme="minorEastAsia" w:eastAsiaTheme="minorEastAsia"/>
                <w:snapToGrid w:val="0"/>
              </w:rPr>
            </w:pPr>
            <w:r>
              <w:rPr>
                <w:rFonts w:cs="宋体" w:asciiTheme="minorEastAsia" w:hAnsiTheme="minorEastAsia" w:eastAsiaTheme="minorEastAsia"/>
                <w:snapToGrid w:val="0"/>
              </w:rPr>
              <w:t>1</w:t>
            </w:r>
            <w:r>
              <w:rPr>
                <w:rFonts w:hint="eastAsia" w:cs="宋体" w:asciiTheme="minorEastAsia" w:hAnsiTheme="minorEastAsia" w:eastAsiaTheme="minorEastAsia"/>
                <w:snapToGrid w:val="0"/>
              </w:rPr>
              <w:t>4</w:t>
            </w:r>
          </w:p>
        </w:tc>
        <w:tc>
          <w:tcPr>
            <w:tcW w:w="1907" w:type="dxa"/>
            <w:vAlign w:val="center"/>
          </w:tcPr>
          <w:p>
            <w:pPr>
              <w:snapToGrid w:val="0"/>
              <w:jc w:val="center"/>
              <w:rPr>
                <w:rFonts w:asciiTheme="minorEastAsia" w:hAnsiTheme="minorEastAsia" w:eastAsiaTheme="minorEastAsia"/>
                <w:snapToGrid w:val="0"/>
              </w:rPr>
            </w:pPr>
            <w:r>
              <w:rPr>
                <w:rFonts w:hint="eastAsia" w:cs="宋体" w:asciiTheme="minorEastAsia" w:hAnsiTheme="minorEastAsia" w:eastAsiaTheme="minorEastAsia"/>
                <w:snapToGrid w:val="0"/>
              </w:rPr>
              <w:t>履约保证金</w:t>
            </w:r>
          </w:p>
        </w:tc>
        <w:tc>
          <w:tcPr>
            <w:tcW w:w="6575" w:type="dxa"/>
            <w:vAlign w:val="center"/>
          </w:tcPr>
          <w:p>
            <w:pPr>
              <w:ind w:firstLine="400" w:firstLineChars="200"/>
              <w:jc w:val="left"/>
              <w:rPr>
                <w:rFonts w:ascii="宋体" w:hAnsi="宋体"/>
                <w:color w:val="000000"/>
                <w:szCs w:val="21"/>
              </w:rPr>
            </w:pPr>
            <w:r>
              <w:rPr>
                <w:rFonts w:hint="eastAsia" w:hAnsi="宋体"/>
              </w:rPr>
              <w:t>中标人在收到中标通知书后，需向采购人提供合同总价</w:t>
            </w:r>
            <w:r>
              <w:rPr>
                <w:rFonts w:hint="eastAsia" w:hAnsi="宋体"/>
                <w:u w:val="single"/>
              </w:rPr>
              <w:t>　1　</w:t>
            </w:r>
            <w:r>
              <w:rPr>
                <w:rFonts w:hint="eastAsia" w:hAnsi="宋体"/>
              </w:rPr>
              <w:t>%的履约保证金</w:t>
            </w:r>
            <w:r>
              <w:rPr>
                <w:rFonts w:hint="eastAsia" w:ascii="宋体" w:hAnsi="宋体"/>
                <w:color w:val="000000"/>
                <w:szCs w:val="21"/>
              </w:rPr>
              <w:t>（进位取整到元）</w:t>
            </w:r>
            <w:r>
              <w:rPr>
                <w:rFonts w:hint="eastAsia" w:hAnsi="宋体"/>
              </w:rPr>
              <w:t>，在中标人与采购人签订合同前递交</w:t>
            </w:r>
            <w:r>
              <w:rPr>
                <w:rFonts w:hint="eastAsia" w:ascii="宋体" w:hAnsi="宋体"/>
                <w:color w:val="000000"/>
                <w:szCs w:val="21"/>
              </w:rPr>
              <w:t>（中标人应当以电汇、汇票或银行保函的形式提交）</w:t>
            </w:r>
            <w:r>
              <w:rPr>
                <w:rFonts w:hint="eastAsia" w:hAnsi="宋体"/>
              </w:rPr>
              <w:t>。</w:t>
            </w:r>
          </w:p>
          <w:p>
            <w:pPr>
              <w:pStyle w:val="15"/>
              <w:snapToGrid w:val="0"/>
              <w:ind w:firstLine="400" w:firstLineChars="200"/>
              <w:rPr>
                <w:rFonts w:cs="Times New Roman" w:asciiTheme="minorEastAsia" w:hAnsiTheme="minorEastAsia" w:eastAsiaTheme="minorEastAsia"/>
              </w:rPr>
            </w:pPr>
            <w:r>
              <w:rPr>
                <w:rFonts w:hint="eastAsia" w:ascii="宋体" w:hAnsi="宋体"/>
                <w:color w:val="000000"/>
                <w:szCs w:val="21"/>
              </w:rPr>
              <w:t>本</w:t>
            </w:r>
            <w:r>
              <w:rPr>
                <w:rFonts w:hint="eastAsia" w:ascii="宋体" w:hAnsi="宋体"/>
                <w:color w:val="000000"/>
                <w:sz w:val="18"/>
                <w:szCs w:val="18"/>
              </w:rPr>
              <w:t>项</w:t>
            </w:r>
            <w:r>
              <w:rPr>
                <w:rFonts w:hint="eastAsia" w:ascii="宋体" w:hAnsi="宋体"/>
                <w:color w:val="000000"/>
                <w:sz w:val="20"/>
                <w:szCs w:val="20"/>
              </w:rPr>
              <w:t>目</w:t>
            </w:r>
            <w:r>
              <w:rPr>
                <w:rFonts w:hint="eastAsia" w:ascii="宋体" w:hAnsi="宋体" w:cs="宋体"/>
                <w:sz w:val="20"/>
                <w:szCs w:val="20"/>
              </w:rPr>
              <w:t>完成全部供货并提交全部资料并通过验收合格后</w:t>
            </w:r>
            <w:r>
              <w:rPr>
                <w:rFonts w:hint="eastAsia" w:ascii="宋体" w:hAnsi="宋体"/>
                <w:color w:val="000000"/>
                <w:sz w:val="20"/>
                <w:szCs w:val="20"/>
              </w:rPr>
              <w:t>，</w:t>
            </w:r>
            <w:r>
              <w:rPr>
                <w:rFonts w:hint="eastAsia" w:ascii="宋体" w:hAnsi="宋体"/>
                <w:color w:val="000000"/>
                <w:szCs w:val="21"/>
              </w:rPr>
              <w:t>采购人无息退还履约保证金，采购人以保函形式提交履约担保的，保函自动失效（由于中标人引起的工期延误的，则履约担保有效期顺延）。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Theme="minorEastAsia" w:hAnsiTheme="minorEastAsia" w:eastAsiaTheme="minorEastAsia"/>
                <w:snapToGrid w:val="0"/>
              </w:rPr>
            </w:pPr>
            <w:r>
              <w:rPr>
                <w:rFonts w:cs="宋体" w:asciiTheme="minorEastAsia" w:hAnsiTheme="minorEastAsia" w:eastAsiaTheme="minorEastAsia"/>
                <w:snapToGrid w:val="0"/>
              </w:rPr>
              <w:t>1</w:t>
            </w:r>
            <w:r>
              <w:rPr>
                <w:rFonts w:hint="eastAsia" w:cs="宋体" w:asciiTheme="minorEastAsia" w:hAnsiTheme="minorEastAsia" w:eastAsiaTheme="minorEastAsia"/>
                <w:snapToGrid w:val="0"/>
              </w:rPr>
              <w:t>5</w:t>
            </w:r>
          </w:p>
        </w:tc>
        <w:tc>
          <w:tcPr>
            <w:tcW w:w="1907" w:type="dxa"/>
            <w:vAlign w:val="center"/>
          </w:tcPr>
          <w:p>
            <w:pPr>
              <w:snapToGrid w:val="0"/>
              <w:jc w:val="center"/>
              <w:rPr>
                <w:rFonts w:asciiTheme="minorEastAsia" w:hAnsiTheme="minorEastAsia" w:eastAsiaTheme="minorEastAsia"/>
                <w:snapToGrid w:val="0"/>
              </w:rPr>
            </w:pPr>
            <w:r>
              <w:rPr>
                <w:rFonts w:hint="eastAsia" w:cs="宋体" w:asciiTheme="minorEastAsia" w:hAnsiTheme="minorEastAsia" w:eastAsiaTheme="minorEastAsia"/>
                <w:snapToGrid w:val="0"/>
              </w:rPr>
              <w:t>询价公告及成交结果公告发布媒体</w:t>
            </w:r>
          </w:p>
        </w:tc>
        <w:tc>
          <w:tcPr>
            <w:tcW w:w="6575" w:type="dxa"/>
            <w:vAlign w:val="center"/>
          </w:tcPr>
          <w:p>
            <w:pPr>
              <w:pStyle w:val="15"/>
              <w:snapToGrid w:val="0"/>
              <w:ind w:firstLine="400" w:firstLineChars="200"/>
              <w:rPr>
                <w:rFonts w:cs="Times New Roman" w:asciiTheme="minorEastAsia" w:hAnsiTheme="minorEastAsia" w:eastAsiaTheme="minorEastAsia"/>
              </w:rPr>
            </w:pPr>
            <w:r>
              <w:rPr>
                <w:rFonts w:hint="eastAsia" w:asciiTheme="minorEastAsia" w:hAnsiTheme="minorEastAsia" w:eastAsiaTheme="minorEastAsia"/>
              </w:rPr>
              <w:t>浙江省政府采购网、绍兴市上虞区公共资源交易中心网站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Theme="minorEastAsia" w:hAnsiTheme="minorEastAsia" w:eastAsiaTheme="minorEastAsia"/>
              </w:rPr>
            </w:pPr>
            <w:r>
              <w:rPr>
                <w:rFonts w:cs="宋体" w:asciiTheme="minorEastAsia" w:hAnsiTheme="minorEastAsia" w:eastAsiaTheme="minorEastAsia"/>
              </w:rPr>
              <w:t>1</w:t>
            </w:r>
            <w:r>
              <w:rPr>
                <w:rFonts w:hint="eastAsia" w:cs="宋体" w:asciiTheme="minorEastAsia" w:hAnsiTheme="minorEastAsia" w:eastAsiaTheme="minorEastAsia"/>
              </w:rPr>
              <w:t>6</w:t>
            </w:r>
          </w:p>
        </w:tc>
        <w:tc>
          <w:tcPr>
            <w:tcW w:w="1907" w:type="dxa"/>
            <w:vAlign w:val="center"/>
          </w:tcPr>
          <w:p>
            <w:pPr>
              <w:snapToGrid w:val="0"/>
              <w:jc w:val="center"/>
              <w:rPr>
                <w:rFonts w:asciiTheme="minorEastAsia" w:hAnsiTheme="minorEastAsia" w:eastAsiaTheme="minorEastAsia"/>
                <w:snapToGrid w:val="0"/>
              </w:rPr>
            </w:pPr>
            <w:r>
              <w:rPr>
                <w:rFonts w:hint="eastAsia" w:cs="宋体" w:asciiTheme="minorEastAsia" w:hAnsiTheme="minorEastAsia" w:eastAsiaTheme="minorEastAsia"/>
                <w:snapToGrid w:val="0"/>
              </w:rPr>
              <w:t>质疑</w:t>
            </w:r>
          </w:p>
        </w:tc>
        <w:tc>
          <w:tcPr>
            <w:tcW w:w="6575" w:type="dxa"/>
            <w:vAlign w:val="center"/>
          </w:tcPr>
          <w:p>
            <w:pPr>
              <w:ind w:firstLine="400" w:firstLineChars="200"/>
              <w:jc w:val="left"/>
              <w:rPr>
                <w:rFonts w:asciiTheme="minorEastAsia" w:hAnsiTheme="minorEastAsia" w:eastAsiaTheme="minorEastAsia"/>
              </w:rPr>
            </w:pPr>
            <w:r>
              <w:rPr>
                <w:rFonts w:hint="eastAsia" w:cs="宋体" w:asciiTheme="minorEastAsia" w:hAnsiTheme="minorEastAsia" w:eastAsiaTheme="minorEastAsia"/>
              </w:rPr>
              <w:t>根据《中华人民共和国政府采购法》第五十二条、《中华人民共和国政府采购法实施条例》第五十三条、《浙江省政府采购供应商质疑处理办法》的规定：</w:t>
            </w:r>
          </w:p>
          <w:p>
            <w:pPr>
              <w:ind w:firstLine="400" w:firstLineChars="200"/>
              <w:jc w:val="left"/>
              <w:rPr>
                <w:rFonts w:asciiTheme="minorEastAsia" w:hAnsiTheme="minorEastAsia" w:eastAsiaTheme="minorEastAsia"/>
              </w:rPr>
            </w:pPr>
            <w:r>
              <w:rPr>
                <w:rFonts w:hint="eastAsia" w:cs="宋体" w:asciiTheme="minorEastAsia" w:hAnsiTheme="minorEastAsia" w:eastAsiaTheme="minorEastAsia"/>
              </w:rPr>
              <w:t>供应商认为询价文件使自己的权益受到损害的，可以在询价文件公告期限届满之日（公告发布后的第3个工作日）起</w:t>
            </w:r>
            <w:r>
              <w:rPr>
                <w:rFonts w:cs="宋体" w:asciiTheme="minorEastAsia" w:hAnsiTheme="minorEastAsia" w:eastAsiaTheme="minorEastAsia"/>
              </w:rPr>
              <w:t>7</w:t>
            </w:r>
            <w:r>
              <w:rPr>
                <w:rFonts w:hint="eastAsia" w:cs="宋体" w:asciiTheme="minorEastAsia" w:hAnsiTheme="minorEastAsia" w:eastAsiaTheme="minorEastAsia"/>
              </w:rPr>
              <w:t>个工作日内，以书面形式向采购人和采购代理机构提出质疑。供应商在法定质疑期内应一次性提出针对同一采购程序环节的质疑。否则质疑将不予受理。</w:t>
            </w:r>
          </w:p>
          <w:p>
            <w:pPr>
              <w:ind w:firstLine="400" w:firstLineChars="200"/>
              <w:jc w:val="left"/>
              <w:rPr>
                <w:rFonts w:asciiTheme="minorEastAsia" w:hAnsiTheme="minorEastAsia" w:eastAsiaTheme="minorEastAsia"/>
              </w:rPr>
            </w:pPr>
            <w:r>
              <w:rPr>
                <w:rFonts w:hint="eastAsia" w:cs="宋体" w:asciiTheme="minorEastAsia" w:hAnsiTheme="minorEastAsia" w:eastAsiaTheme="minorEastAsia"/>
              </w:rPr>
              <w:t>供应商如认为采购过程使自身的合法权益受到损害的，应于各采购程序环节结束之日起七个工作日内以书面形式向采购机构提出质疑；</w:t>
            </w:r>
          </w:p>
          <w:p>
            <w:pPr>
              <w:snapToGrid w:val="0"/>
              <w:ind w:firstLine="400" w:firstLineChars="200"/>
              <w:jc w:val="left"/>
              <w:rPr>
                <w:rFonts w:asciiTheme="minorEastAsia" w:hAnsiTheme="minorEastAsia" w:eastAsiaTheme="minorEastAsia"/>
                <w:snapToGrid w:val="0"/>
              </w:rPr>
            </w:pPr>
            <w:r>
              <w:rPr>
                <w:rFonts w:hint="eastAsia" w:cs="宋体" w:asciiTheme="minorEastAsia" w:hAnsiTheme="minorEastAsia" w:eastAsiaTheme="minorEastAsia"/>
              </w:rPr>
              <w:t>供应商如认为中标结果使自身的合法权益受到损害的，应于中标或者成交结果公告期限届满之日起七个工作日内以书面形式向采购机构提出质疑</w:t>
            </w:r>
            <w:r>
              <w:rPr>
                <w:rFonts w:hint="eastAsia" w:cs="宋体" w:asciiTheme="minorEastAsia" w:hAnsiTheme="minorEastAsia" w:eastAsiaTheme="minorEastAsia"/>
                <w:snapToGrid w:val="0"/>
              </w:rPr>
              <w:t>。</w:t>
            </w:r>
            <w:r>
              <w:rPr>
                <w:rFonts w:hint="eastAsia" w:ascii="宋体" w:hAnsi="宋体" w:cs="宋体"/>
              </w:rPr>
              <w:t>质疑函范本请到浙江政府采购网下载专区下载。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Theme="minorEastAsia" w:hAnsiTheme="minorEastAsia" w:eastAsiaTheme="minorEastAsia"/>
                <w:snapToGrid w:val="0"/>
              </w:rPr>
            </w:pPr>
            <w:r>
              <w:rPr>
                <w:rFonts w:cs="宋体" w:asciiTheme="minorEastAsia" w:hAnsiTheme="minorEastAsia" w:eastAsiaTheme="minorEastAsia"/>
                <w:snapToGrid w:val="0"/>
              </w:rPr>
              <w:t>1</w:t>
            </w:r>
            <w:r>
              <w:rPr>
                <w:rFonts w:hint="eastAsia" w:cs="宋体" w:asciiTheme="minorEastAsia" w:hAnsiTheme="minorEastAsia" w:eastAsiaTheme="minorEastAsia"/>
                <w:snapToGrid w:val="0"/>
              </w:rPr>
              <w:t>7</w:t>
            </w:r>
          </w:p>
        </w:tc>
        <w:tc>
          <w:tcPr>
            <w:tcW w:w="1907" w:type="dxa"/>
            <w:vAlign w:val="center"/>
          </w:tcPr>
          <w:p>
            <w:pPr>
              <w:snapToGrid w:val="0"/>
              <w:jc w:val="center"/>
              <w:rPr>
                <w:rFonts w:asciiTheme="minorEastAsia" w:hAnsiTheme="minorEastAsia" w:eastAsiaTheme="minorEastAsia"/>
                <w:snapToGrid w:val="0"/>
              </w:rPr>
            </w:pPr>
            <w:r>
              <w:rPr>
                <w:rFonts w:hint="eastAsia" w:cs="宋体" w:asciiTheme="minorEastAsia" w:hAnsiTheme="minorEastAsia" w:eastAsiaTheme="minorEastAsia"/>
                <w:snapToGrid w:val="0"/>
              </w:rPr>
              <w:t>投诉</w:t>
            </w:r>
          </w:p>
        </w:tc>
        <w:tc>
          <w:tcPr>
            <w:tcW w:w="6575" w:type="dxa"/>
            <w:vAlign w:val="center"/>
          </w:tcPr>
          <w:p>
            <w:pPr>
              <w:snapToGrid w:val="0"/>
              <w:ind w:firstLine="400" w:firstLineChars="200"/>
              <w:jc w:val="left"/>
              <w:rPr>
                <w:rFonts w:asciiTheme="minorEastAsia" w:hAnsiTheme="minorEastAsia" w:eastAsiaTheme="minorEastAsia"/>
                <w:snapToGrid w:val="0"/>
              </w:rPr>
            </w:pPr>
            <w:r>
              <w:rPr>
                <w:rFonts w:hint="eastAsia" w:cs="宋体" w:asciiTheme="minorEastAsia" w:hAnsiTheme="minorEastAsia" w:eastAsiaTheme="minorEastAsia"/>
                <w:snapToGrid w:val="0"/>
              </w:rPr>
              <w:t>根据《政府采购法》第五十五条的规定，质疑供应商对采购人、招标代理机构的答复不满意或者采购人、招标代理机构未在规定的时间内作出答复的，可以在答复期满后十五个工作日内向同级政府采购监督管理部门投诉。</w:t>
            </w:r>
            <w:r>
              <w:rPr>
                <w:rFonts w:hint="eastAsia" w:ascii="宋体" w:hAnsi="宋体" w:cs="宋体"/>
              </w:rPr>
              <w:t>投诉书范本请到浙江政府采购网下载专区下载。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Theme="minorEastAsia" w:hAnsiTheme="minorEastAsia" w:eastAsiaTheme="minorEastAsia"/>
                <w:snapToGrid w:val="0"/>
              </w:rPr>
            </w:pPr>
            <w:r>
              <w:rPr>
                <w:rFonts w:cs="宋体" w:asciiTheme="minorEastAsia" w:hAnsiTheme="minorEastAsia" w:eastAsiaTheme="minorEastAsia"/>
                <w:snapToGrid w:val="0"/>
              </w:rPr>
              <w:t>1</w:t>
            </w:r>
            <w:r>
              <w:rPr>
                <w:rFonts w:hint="eastAsia" w:cs="宋体" w:asciiTheme="minorEastAsia" w:hAnsiTheme="minorEastAsia" w:eastAsiaTheme="minorEastAsia"/>
                <w:snapToGrid w:val="0"/>
              </w:rPr>
              <w:t>8</w:t>
            </w:r>
          </w:p>
        </w:tc>
        <w:tc>
          <w:tcPr>
            <w:tcW w:w="1907" w:type="dxa"/>
            <w:vAlign w:val="center"/>
          </w:tcPr>
          <w:p>
            <w:pPr>
              <w:snapToGrid w:val="0"/>
              <w:jc w:val="center"/>
              <w:rPr>
                <w:rFonts w:asciiTheme="minorEastAsia" w:hAnsiTheme="minorEastAsia" w:eastAsiaTheme="minorEastAsia"/>
                <w:snapToGrid w:val="0"/>
              </w:rPr>
            </w:pPr>
            <w:r>
              <w:rPr>
                <w:rFonts w:hint="eastAsia" w:cs="宋体" w:asciiTheme="minorEastAsia" w:hAnsiTheme="minorEastAsia" w:eastAsiaTheme="minorEastAsia"/>
                <w:snapToGrid w:val="0"/>
              </w:rPr>
              <w:t>特别说明</w:t>
            </w:r>
          </w:p>
        </w:tc>
        <w:tc>
          <w:tcPr>
            <w:tcW w:w="6575" w:type="dxa"/>
            <w:vAlign w:val="center"/>
          </w:tcPr>
          <w:p>
            <w:pPr>
              <w:pStyle w:val="15"/>
              <w:snapToGrid w:val="0"/>
              <w:ind w:firstLine="400" w:firstLineChars="200"/>
              <w:rPr>
                <w:rFonts w:cs="Times New Roman" w:asciiTheme="minorEastAsia" w:hAnsiTheme="minorEastAsia" w:eastAsiaTheme="minorEastAsia"/>
              </w:rPr>
            </w:pPr>
            <w:r>
              <w:rPr>
                <w:rFonts w:hint="eastAsia" w:asciiTheme="minorEastAsia" w:hAnsiTheme="minorEastAsia" w:eastAsiaTheme="minorEastAsia"/>
              </w:rPr>
              <w:t>供应商应无条件的、认真仔细的阅读本询价文件及其澄清答疑、修改答复的补充文件，严格按照询价文件及补充文件的规定和要求编制响应文件。在编制响应文件过程中，应严格遵循实事求是、诚信投标的原则，针对询价文件中的采购需求、合同条款等各项内容进行确认，如有偏离，应如实填写响应偏离表。</w:t>
            </w:r>
          </w:p>
          <w:p>
            <w:pPr>
              <w:pStyle w:val="15"/>
              <w:snapToGrid w:val="0"/>
              <w:ind w:firstLine="400" w:firstLineChars="200"/>
              <w:rPr>
                <w:rFonts w:cs="Times New Roman" w:asciiTheme="minorEastAsia" w:hAnsiTheme="minorEastAsia" w:eastAsiaTheme="minorEastAsia"/>
              </w:rPr>
            </w:pPr>
            <w:r>
              <w:rPr>
                <w:rFonts w:hint="eastAsia" w:asciiTheme="minorEastAsia" w:hAnsiTheme="minorEastAsia" w:eastAsiaTheme="minorEastAsia"/>
              </w:rPr>
              <w:t>该项目结果公告期间，供应商不得通过非正当途径、更不得通过非正当手段获取法律法规规定评标委员会（包括其他相关人员）应当保密的相关内容。即便由此获得资料并作为向采购人或招标代理机构或监督管理部门提出异（质）疑或投诉或法院起诉的理由，均属于非法索取的依据。</w:t>
            </w:r>
          </w:p>
          <w:p>
            <w:pPr>
              <w:pStyle w:val="15"/>
              <w:snapToGrid w:val="0"/>
              <w:ind w:firstLine="400" w:firstLineChars="200"/>
              <w:rPr>
                <w:rFonts w:cs="Times New Roman" w:asciiTheme="minorEastAsia" w:hAnsiTheme="minorEastAsia" w:eastAsiaTheme="minorEastAsia"/>
              </w:rPr>
            </w:pPr>
            <w:r>
              <w:rPr>
                <w:rFonts w:hint="eastAsia" w:asciiTheme="minorEastAsia" w:hAnsiTheme="minorEastAsia" w:eastAsiaTheme="minorEastAsia"/>
              </w:rPr>
              <w:t>质疑、投诉人未按前列进行质疑、投诉（申诉），均属于扰乱政府采购市场不良行为。</w:t>
            </w:r>
          </w:p>
          <w:p>
            <w:pPr>
              <w:pStyle w:val="15"/>
              <w:snapToGrid w:val="0"/>
              <w:ind w:firstLine="400" w:firstLineChars="200"/>
              <w:rPr>
                <w:rFonts w:cs="Times New Roman" w:asciiTheme="minorEastAsia" w:hAnsiTheme="minorEastAsia" w:eastAsiaTheme="minorEastAsia"/>
                <w:b/>
                <w:bCs/>
              </w:rPr>
            </w:pPr>
            <w:r>
              <w:rPr>
                <w:rFonts w:hint="eastAsia" w:asciiTheme="minorEastAsia" w:hAnsiTheme="minorEastAsia" w:eastAsiaTheme="minorEastAsia"/>
              </w:rPr>
              <w:t>询价文件中凡标注“★”的条款均为实质性要求，不响应的响应文件将作无效标处理。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648" w:type="dxa"/>
            <w:vAlign w:val="center"/>
          </w:tcPr>
          <w:p>
            <w:pPr>
              <w:snapToGrid w:val="0"/>
              <w:jc w:val="center"/>
              <w:rPr>
                <w:rFonts w:asciiTheme="minorEastAsia" w:hAnsiTheme="minorEastAsia" w:eastAsiaTheme="minorEastAsia"/>
                <w:snapToGrid w:val="0"/>
              </w:rPr>
            </w:pPr>
            <w:r>
              <w:rPr>
                <w:rFonts w:hint="eastAsia" w:cs="宋体" w:asciiTheme="minorEastAsia" w:hAnsiTheme="minorEastAsia" w:eastAsiaTheme="minorEastAsia"/>
                <w:snapToGrid w:val="0"/>
              </w:rPr>
              <w:t>19</w:t>
            </w:r>
          </w:p>
        </w:tc>
        <w:tc>
          <w:tcPr>
            <w:tcW w:w="1907" w:type="dxa"/>
            <w:vAlign w:val="center"/>
          </w:tcPr>
          <w:p>
            <w:pPr>
              <w:snapToGrid w:val="0"/>
              <w:jc w:val="center"/>
              <w:rPr>
                <w:rFonts w:cs="宋体" w:asciiTheme="minorEastAsia" w:hAnsiTheme="minorEastAsia" w:eastAsiaTheme="minorEastAsia"/>
              </w:rPr>
            </w:pPr>
            <w:r>
              <w:rPr>
                <w:rFonts w:hint="eastAsia" w:cs="宋体" w:asciiTheme="minorEastAsia" w:hAnsiTheme="minorEastAsia" w:eastAsiaTheme="minorEastAsia"/>
              </w:rPr>
              <w:t>招标代理服务费</w:t>
            </w:r>
          </w:p>
        </w:tc>
        <w:tc>
          <w:tcPr>
            <w:tcW w:w="6575" w:type="dxa"/>
            <w:vAlign w:val="center"/>
          </w:tcPr>
          <w:p>
            <w:pPr>
              <w:pStyle w:val="15"/>
              <w:snapToGrid w:val="0"/>
              <w:ind w:firstLine="400" w:firstLineChars="200"/>
              <w:rPr>
                <w:rFonts w:hint="eastAsia" w:cs="宋体" w:asciiTheme="minorEastAsia" w:hAnsiTheme="minorEastAsia" w:eastAsiaTheme="minorEastAsia"/>
                <w:lang w:val="en-US" w:eastAsia="zh-CN"/>
              </w:rPr>
            </w:pPr>
            <w:r>
              <w:rPr>
                <w:rFonts w:hint="eastAsia" w:cs="宋体" w:asciiTheme="minorEastAsia" w:hAnsiTheme="minorEastAsia" w:eastAsiaTheme="minorEastAsia"/>
                <w:lang w:val="en-US" w:eastAsia="zh-CN"/>
              </w:rPr>
              <w:t>代理费用：中标（成交）供应商需向采购代理机构支付采购代理服务费，本次服务费按5000元收取。</w:t>
            </w:r>
          </w:p>
          <w:p>
            <w:pPr>
              <w:pStyle w:val="15"/>
              <w:snapToGrid w:val="0"/>
              <w:ind w:firstLine="400" w:firstLineChars="200"/>
              <w:rPr>
                <w:rFonts w:cs="宋体" w:asciiTheme="minorEastAsia" w:hAnsiTheme="minorEastAsia" w:eastAsiaTheme="minorEastAsia"/>
                <w:snapToGrid w:val="0"/>
              </w:rPr>
            </w:pPr>
            <w:r>
              <w:rPr>
                <w:rFonts w:hint="eastAsia" w:cs="宋体" w:asciiTheme="minorEastAsia" w:hAnsiTheme="minorEastAsia" w:eastAsiaTheme="minorEastAsia"/>
                <w:lang w:val="en-US" w:eastAsia="zh-CN"/>
              </w:rPr>
              <w:t>结算方式及时间为：领取中标通知书时由中标人一次性向采购代理机构付清。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648" w:type="dxa"/>
            <w:vAlign w:val="center"/>
          </w:tcPr>
          <w:p>
            <w:pPr>
              <w:snapToGrid w:val="0"/>
              <w:jc w:val="center"/>
              <w:rPr>
                <w:rFonts w:cs="宋体" w:asciiTheme="minorEastAsia" w:hAnsiTheme="minorEastAsia" w:eastAsiaTheme="minorEastAsia"/>
                <w:snapToGrid w:val="0"/>
              </w:rPr>
            </w:pPr>
            <w:r>
              <w:rPr>
                <w:rFonts w:hint="eastAsia" w:cs="宋体" w:asciiTheme="minorEastAsia" w:hAnsiTheme="minorEastAsia" w:eastAsiaTheme="minorEastAsia"/>
                <w:snapToGrid w:val="0"/>
              </w:rPr>
              <w:t>20</w:t>
            </w:r>
          </w:p>
        </w:tc>
        <w:tc>
          <w:tcPr>
            <w:tcW w:w="1907" w:type="dxa"/>
            <w:vAlign w:val="center"/>
          </w:tcPr>
          <w:p>
            <w:pPr>
              <w:snapToGrid w:val="0"/>
              <w:jc w:val="center"/>
              <w:rPr>
                <w:rFonts w:asciiTheme="minorEastAsia" w:hAnsiTheme="minorEastAsia" w:eastAsiaTheme="minorEastAsia"/>
              </w:rPr>
            </w:pPr>
            <w:r>
              <w:rPr>
                <w:rFonts w:hint="eastAsia" w:cs="宋体" w:asciiTheme="minorEastAsia" w:hAnsiTheme="minorEastAsia" w:eastAsiaTheme="minorEastAsia"/>
              </w:rPr>
              <w:t>是否允许分包</w:t>
            </w:r>
          </w:p>
        </w:tc>
        <w:tc>
          <w:tcPr>
            <w:tcW w:w="6575" w:type="dxa"/>
            <w:vAlign w:val="center"/>
          </w:tcPr>
          <w:p>
            <w:pPr>
              <w:ind w:firstLine="400" w:firstLineChars="200"/>
              <w:rPr>
                <w:rFonts w:asciiTheme="minorEastAsia" w:hAnsiTheme="minorEastAsia" w:eastAsiaTheme="minorEastAsia"/>
              </w:rPr>
            </w:pPr>
            <w:r>
              <w:rPr>
                <w:rFonts w:hint="eastAsia" w:cs="宋体" w:asciiTheme="minorEastAsia" w:hAnsiTheme="minorEastAsia" w:eastAsiaTheme="minorEastAsia"/>
              </w:rPr>
              <w:t>本项目</w:t>
            </w:r>
            <w:r>
              <w:rPr>
                <w:rFonts w:hint="eastAsia" w:cs="宋体" w:asciiTheme="minorEastAsia" w:hAnsiTheme="minorEastAsia" w:eastAsiaTheme="minorEastAsia"/>
                <w:u w:val="single"/>
              </w:rPr>
              <w:t>不允许</w:t>
            </w:r>
            <w:r>
              <w:rPr>
                <w:rFonts w:hint="eastAsia" w:cs="宋体" w:asciiTheme="minorEastAsia" w:hAnsiTheme="minorEastAsia" w:eastAsiaTheme="minorEastAsia"/>
              </w:rPr>
              <w:t>分包。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648" w:type="dxa"/>
            <w:vAlign w:val="center"/>
          </w:tcPr>
          <w:p>
            <w:pPr>
              <w:snapToGrid w:val="0"/>
              <w:jc w:val="center"/>
              <w:rPr>
                <w:rFonts w:asciiTheme="minorEastAsia" w:hAnsiTheme="minorEastAsia" w:eastAsiaTheme="minorEastAsia"/>
                <w:snapToGrid w:val="0"/>
              </w:rPr>
            </w:pPr>
            <w:r>
              <w:rPr>
                <w:rFonts w:hint="eastAsia" w:cs="宋体" w:asciiTheme="minorEastAsia" w:hAnsiTheme="minorEastAsia" w:eastAsiaTheme="minorEastAsia"/>
                <w:snapToGrid w:val="0"/>
              </w:rPr>
              <w:t>21</w:t>
            </w:r>
          </w:p>
        </w:tc>
        <w:tc>
          <w:tcPr>
            <w:tcW w:w="1907" w:type="dxa"/>
            <w:tcBorders>
              <w:top w:val="single" w:color="auto" w:sz="4" w:space="0"/>
            </w:tcBorders>
            <w:vAlign w:val="center"/>
          </w:tcPr>
          <w:p>
            <w:pPr>
              <w:snapToGrid w:val="0"/>
              <w:jc w:val="center"/>
              <w:rPr>
                <w:rFonts w:asciiTheme="minorEastAsia" w:hAnsiTheme="minorEastAsia" w:eastAsiaTheme="minorEastAsia"/>
              </w:rPr>
            </w:pPr>
            <w:r>
              <w:rPr>
                <w:rFonts w:hint="eastAsia" w:cs="宋体" w:asciiTheme="minorEastAsia" w:hAnsiTheme="minorEastAsia" w:eastAsiaTheme="minorEastAsia"/>
              </w:rPr>
              <w:t>是否提供演示</w:t>
            </w:r>
          </w:p>
        </w:tc>
        <w:tc>
          <w:tcPr>
            <w:tcW w:w="6575" w:type="dxa"/>
            <w:tcBorders>
              <w:top w:val="single" w:color="auto" w:sz="4" w:space="0"/>
            </w:tcBorders>
            <w:vAlign w:val="center"/>
          </w:tcPr>
          <w:p>
            <w:pPr>
              <w:ind w:firstLine="400" w:firstLineChars="200"/>
              <w:rPr>
                <w:rFonts w:cs="宋体" w:asciiTheme="minorEastAsia" w:hAnsiTheme="minorEastAsia" w:eastAsiaTheme="minorEastAsia"/>
                <w:b/>
                <w:bCs/>
              </w:rPr>
            </w:pPr>
            <w:r>
              <w:rPr>
                <w:rFonts w:hint="eastAsia" w:cs="宋体" w:asciiTheme="minorEastAsia" w:hAnsiTheme="minorEastAsia" w:eastAsiaTheme="minorEastAsia"/>
              </w:rPr>
              <w:t>本项目</w:t>
            </w:r>
            <w:r>
              <w:rPr>
                <w:rFonts w:hint="eastAsia" w:ascii="宋体" w:hAnsi="宋体" w:cs="宋体"/>
                <w:u w:val="single"/>
              </w:rPr>
              <w:t>不需要</w:t>
            </w:r>
            <w:r>
              <w:rPr>
                <w:rFonts w:hint="eastAsia" w:ascii="宋体" w:hAnsi="宋体" w:cs="宋体"/>
              </w:rPr>
              <w:t>提供演示。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648" w:type="dxa"/>
            <w:vAlign w:val="center"/>
          </w:tcPr>
          <w:p>
            <w:pPr>
              <w:snapToGrid w:val="0"/>
              <w:jc w:val="center"/>
              <w:rPr>
                <w:rFonts w:cs="宋体" w:asciiTheme="minorEastAsia" w:hAnsiTheme="minorEastAsia" w:eastAsiaTheme="minorEastAsia"/>
                <w:snapToGrid w:val="0"/>
              </w:rPr>
            </w:pPr>
            <w:r>
              <w:rPr>
                <w:rFonts w:hint="eastAsia" w:cs="宋体" w:asciiTheme="minorEastAsia" w:hAnsiTheme="minorEastAsia" w:eastAsiaTheme="minorEastAsia"/>
                <w:snapToGrid w:val="0"/>
              </w:rPr>
              <w:t>22</w:t>
            </w:r>
          </w:p>
        </w:tc>
        <w:tc>
          <w:tcPr>
            <w:tcW w:w="1907" w:type="dxa"/>
            <w:tcBorders>
              <w:top w:val="single" w:color="auto" w:sz="4" w:space="0"/>
            </w:tcBorders>
            <w:vAlign w:val="center"/>
          </w:tcPr>
          <w:p>
            <w:pPr>
              <w:snapToGrid w:val="0"/>
              <w:jc w:val="center"/>
              <w:rPr>
                <w:rFonts w:cs="宋体" w:asciiTheme="minorEastAsia" w:hAnsiTheme="minorEastAsia" w:eastAsiaTheme="minorEastAsia"/>
              </w:rPr>
            </w:pPr>
            <w:r>
              <w:rPr>
                <w:rFonts w:hint="eastAsia" w:ascii="宋体" w:hAnsi="宋体" w:cs="宋体"/>
                <w:szCs w:val="21"/>
              </w:rPr>
              <w:t>是否提供样品</w:t>
            </w:r>
          </w:p>
        </w:tc>
        <w:tc>
          <w:tcPr>
            <w:tcW w:w="6575" w:type="dxa"/>
            <w:tcBorders>
              <w:top w:val="single" w:color="auto" w:sz="4" w:space="0"/>
            </w:tcBorders>
            <w:vAlign w:val="center"/>
          </w:tcPr>
          <w:p>
            <w:pPr>
              <w:ind w:firstLine="400" w:firstLineChars="200"/>
              <w:rPr>
                <w:rFonts w:ascii="宋体" w:hAnsi="宋体" w:cs="宋体"/>
                <w:szCs w:val="21"/>
              </w:rPr>
            </w:pPr>
            <w:r>
              <w:rPr>
                <w:rFonts w:hint="eastAsia" w:ascii="宋体" w:hAnsi="宋体" w:cs="宋体"/>
                <w:szCs w:val="21"/>
              </w:rPr>
              <w:t>本项目</w:t>
            </w:r>
            <w:r>
              <w:rPr>
                <w:rFonts w:hint="eastAsia" w:ascii="宋体" w:hAnsi="宋体" w:cs="宋体"/>
                <w:szCs w:val="21"/>
                <w:u w:val="single"/>
              </w:rPr>
              <w:t>不需要</w:t>
            </w:r>
            <w:r>
              <w:rPr>
                <w:rFonts w:hint="eastAsia" w:ascii="宋体" w:hAnsi="宋体" w:cs="宋体"/>
                <w:szCs w:val="21"/>
              </w:rPr>
              <w:t>提供样品。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Theme="minorEastAsia" w:hAnsiTheme="minorEastAsia" w:eastAsiaTheme="minorEastAsia"/>
                <w:snapToGrid w:val="0"/>
              </w:rPr>
            </w:pPr>
            <w:r>
              <w:rPr>
                <w:rFonts w:hint="eastAsia" w:cs="宋体" w:asciiTheme="minorEastAsia" w:hAnsiTheme="minorEastAsia" w:eastAsiaTheme="minorEastAsia"/>
                <w:snapToGrid w:val="0"/>
              </w:rPr>
              <w:t>23</w:t>
            </w:r>
          </w:p>
        </w:tc>
        <w:tc>
          <w:tcPr>
            <w:tcW w:w="1907" w:type="dxa"/>
            <w:vAlign w:val="center"/>
          </w:tcPr>
          <w:p>
            <w:pPr>
              <w:snapToGrid w:val="0"/>
              <w:jc w:val="center"/>
              <w:rPr>
                <w:rFonts w:asciiTheme="minorEastAsia" w:hAnsiTheme="minorEastAsia" w:eastAsiaTheme="minorEastAsia"/>
              </w:rPr>
            </w:pPr>
            <w:r>
              <w:rPr>
                <w:rFonts w:hint="eastAsia" w:cs="宋体" w:asciiTheme="minorEastAsia" w:hAnsiTheme="minorEastAsia" w:eastAsiaTheme="minorEastAsia"/>
              </w:rPr>
              <w:t>供应商信用信息查询渠道及截止时点、信用信息查询记录和证据留存的具体方式、信用信息的使用规则</w:t>
            </w:r>
          </w:p>
        </w:tc>
        <w:tc>
          <w:tcPr>
            <w:tcW w:w="6575" w:type="dxa"/>
            <w:vAlign w:val="center"/>
          </w:tcPr>
          <w:p>
            <w:pPr>
              <w:ind w:firstLine="400" w:firstLineChars="200"/>
              <w:rPr>
                <w:rFonts w:asciiTheme="minorEastAsia" w:hAnsiTheme="minorEastAsia" w:eastAsiaTheme="minorEastAsia"/>
              </w:rPr>
            </w:pPr>
            <w:r>
              <w:rPr>
                <w:rFonts w:cs="宋体" w:asciiTheme="minorEastAsia" w:hAnsiTheme="minorEastAsia" w:eastAsiaTheme="minorEastAsia"/>
              </w:rPr>
              <w:t>1</w:t>
            </w:r>
            <w:r>
              <w:rPr>
                <w:rFonts w:hint="eastAsia" w:cs="宋体" w:asciiTheme="minorEastAsia" w:hAnsiTheme="minorEastAsia" w:eastAsiaTheme="minorEastAsia"/>
              </w:rPr>
              <w:t>、查询渠道：信用中国（网址：</w:t>
            </w:r>
            <w:r>
              <w:rPr>
                <w:rFonts w:cs="宋体" w:asciiTheme="minorEastAsia" w:hAnsiTheme="minorEastAsia" w:eastAsiaTheme="minorEastAsia"/>
              </w:rPr>
              <w:t>http://www.creditchina.gov.cn</w:t>
            </w:r>
            <w:r>
              <w:rPr>
                <w:rFonts w:hint="eastAsia" w:cs="宋体" w:asciiTheme="minorEastAsia" w:hAnsiTheme="minorEastAsia" w:eastAsiaTheme="minorEastAsia"/>
              </w:rPr>
              <w:t>）、中国政府采购网</w:t>
            </w:r>
            <w:r>
              <w:rPr>
                <w:rFonts w:cs="宋体" w:asciiTheme="minorEastAsia" w:hAnsiTheme="minorEastAsia" w:eastAsiaTheme="minorEastAsia"/>
              </w:rPr>
              <w:t>(</w:t>
            </w:r>
            <w:r>
              <w:rPr>
                <w:rFonts w:hint="eastAsia" w:cs="宋体" w:asciiTheme="minorEastAsia" w:hAnsiTheme="minorEastAsia" w:eastAsiaTheme="minorEastAsia"/>
              </w:rPr>
              <w:t>网址：</w:t>
            </w:r>
            <w:r>
              <w:rPr>
                <w:rFonts w:cs="宋体" w:asciiTheme="minorEastAsia" w:hAnsiTheme="minorEastAsia" w:eastAsiaTheme="minorEastAsia"/>
              </w:rPr>
              <w:t>http://www.ccgp.gov.cn</w:t>
            </w:r>
            <w:r>
              <w:rPr>
                <w:rFonts w:hint="eastAsia" w:cs="宋体" w:asciiTheme="minorEastAsia" w:hAnsiTheme="minorEastAsia" w:eastAsiaTheme="minorEastAsia"/>
              </w:rPr>
              <w:t>）。</w:t>
            </w:r>
          </w:p>
          <w:p>
            <w:pPr>
              <w:ind w:firstLine="400" w:firstLineChars="200"/>
              <w:rPr>
                <w:rFonts w:asciiTheme="minorEastAsia" w:hAnsiTheme="minorEastAsia" w:eastAsiaTheme="minorEastAsia"/>
              </w:rPr>
            </w:pPr>
            <w:r>
              <w:rPr>
                <w:rFonts w:cs="宋体" w:asciiTheme="minorEastAsia" w:hAnsiTheme="minorEastAsia" w:eastAsiaTheme="minorEastAsia"/>
              </w:rPr>
              <w:t>2</w:t>
            </w:r>
            <w:r>
              <w:rPr>
                <w:rFonts w:hint="eastAsia" w:cs="宋体" w:asciiTheme="minorEastAsia" w:hAnsiTheme="minorEastAsia" w:eastAsiaTheme="minorEastAsia"/>
              </w:rPr>
              <w:t>、截止时点：开标后评标前。</w:t>
            </w:r>
          </w:p>
          <w:p>
            <w:pPr>
              <w:ind w:firstLine="400" w:firstLineChars="200"/>
              <w:rPr>
                <w:rFonts w:asciiTheme="minorEastAsia" w:hAnsiTheme="minorEastAsia" w:eastAsiaTheme="minorEastAsia"/>
              </w:rPr>
            </w:pPr>
            <w:r>
              <w:rPr>
                <w:rFonts w:cs="宋体" w:asciiTheme="minorEastAsia" w:hAnsiTheme="minorEastAsia" w:eastAsiaTheme="minorEastAsia"/>
              </w:rPr>
              <w:t>3</w:t>
            </w:r>
            <w:r>
              <w:rPr>
                <w:rFonts w:hint="eastAsia" w:cs="宋体" w:asciiTheme="minorEastAsia" w:hAnsiTheme="minorEastAsia" w:eastAsiaTheme="minorEastAsia"/>
              </w:rPr>
              <w:t>、信用信息查询记录和证据留存的具体方式：由采购组织机构在规定查询时间内打印信用信息查询记录并归入项目档案。</w:t>
            </w:r>
          </w:p>
          <w:p>
            <w:pPr>
              <w:ind w:firstLine="400" w:firstLineChars="200"/>
              <w:rPr>
                <w:rFonts w:asciiTheme="minorEastAsia" w:hAnsiTheme="minorEastAsia" w:eastAsiaTheme="minorEastAsia"/>
              </w:rPr>
            </w:pPr>
            <w:r>
              <w:rPr>
                <w:rFonts w:cs="宋体" w:asciiTheme="minorEastAsia" w:hAnsiTheme="minorEastAsia" w:eastAsiaTheme="minorEastAsia"/>
              </w:rPr>
              <w:t>4</w:t>
            </w:r>
            <w:r>
              <w:rPr>
                <w:rFonts w:hint="eastAsia" w:cs="宋体" w:asciiTheme="minorEastAsia" w:hAnsiTheme="minorEastAsia" w:eastAsiaTheme="minorEastAsia"/>
              </w:rPr>
              <w:t>、使用规则：对列入失信被执行人、重大税收违法案件当事人名单、政府采购严重违法失信行为记录名单及其他不符合《中华人民共和国政府采购法》第二十二条规定条件的供应商，将被拒绝其参与政府采购活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tcBorders>
              <w:bottom w:val="double" w:color="auto" w:sz="4" w:space="0"/>
            </w:tcBorders>
            <w:vAlign w:val="center"/>
          </w:tcPr>
          <w:p>
            <w:pPr>
              <w:snapToGrid w:val="0"/>
              <w:jc w:val="center"/>
              <w:rPr>
                <w:rFonts w:asciiTheme="minorEastAsia" w:hAnsiTheme="minorEastAsia" w:eastAsiaTheme="minorEastAsia"/>
                <w:snapToGrid w:val="0"/>
              </w:rPr>
            </w:pPr>
            <w:r>
              <w:rPr>
                <w:rFonts w:hint="eastAsia" w:cs="宋体" w:asciiTheme="minorEastAsia" w:hAnsiTheme="minorEastAsia" w:eastAsiaTheme="minorEastAsia"/>
                <w:snapToGrid w:val="0"/>
              </w:rPr>
              <w:t>24</w:t>
            </w:r>
          </w:p>
        </w:tc>
        <w:tc>
          <w:tcPr>
            <w:tcW w:w="1907" w:type="dxa"/>
            <w:tcBorders>
              <w:bottom w:val="double" w:color="auto" w:sz="4" w:space="0"/>
            </w:tcBorders>
            <w:vAlign w:val="center"/>
          </w:tcPr>
          <w:p>
            <w:pPr>
              <w:snapToGrid w:val="0"/>
              <w:jc w:val="center"/>
              <w:rPr>
                <w:rFonts w:asciiTheme="minorEastAsia" w:hAnsiTheme="minorEastAsia" w:eastAsiaTheme="minorEastAsia"/>
              </w:rPr>
            </w:pPr>
            <w:r>
              <w:rPr>
                <w:rFonts w:hint="eastAsia" w:cs="宋体" w:asciiTheme="minorEastAsia" w:hAnsiTheme="minorEastAsia" w:eastAsiaTheme="minorEastAsia"/>
              </w:rPr>
              <w:t>其他</w:t>
            </w:r>
          </w:p>
        </w:tc>
        <w:tc>
          <w:tcPr>
            <w:tcW w:w="6575" w:type="dxa"/>
            <w:tcBorders>
              <w:bottom w:val="double" w:color="auto" w:sz="4" w:space="0"/>
            </w:tcBorders>
            <w:vAlign w:val="center"/>
          </w:tcPr>
          <w:p>
            <w:pPr>
              <w:ind w:firstLine="402" w:firstLineChars="200"/>
              <w:rPr>
                <w:rFonts w:hint="eastAsia" w:ascii="宋体" w:hAnsi="宋体" w:cs="宋体"/>
                <w:b/>
                <w:bCs/>
                <w:szCs w:val="20"/>
              </w:rPr>
            </w:pPr>
            <w:r>
              <w:rPr>
                <w:rFonts w:hint="eastAsia" w:ascii="宋体" w:hAnsi="宋体" w:cs="宋体"/>
                <w:b/>
                <w:bCs/>
                <w:szCs w:val="20"/>
              </w:rPr>
              <w:t>1、本采购文件要求提供的身份证复印件皆需提供正反面，否则按不提供处理。</w:t>
            </w:r>
          </w:p>
          <w:p>
            <w:pPr>
              <w:ind w:firstLine="402" w:firstLineChars="200"/>
              <w:rPr>
                <w:rFonts w:asciiTheme="minorEastAsia" w:hAnsiTheme="minorEastAsia" w:eastAsiaTheme="minorEastAsia"/>
                <w:b/>
                <w:bCs/>
              </w:rPr>
            </w:pPr>
            <w:r>
              <w:rPr>
                <w:rFonts w:hint="eastAsia" w:ascii="宋体" w:hAnsi="宋体" w:cs="宋体"/>
                <w:b/>
                <w:bCs/>
              </w:rPr>
              <w:t>2、若本项目涉及柴油动力移动源的应当符合低排放要求。</w:t>
            </w:r>
            <w:r>
              <w:rPr>
                <w:rFonts w:hint="default" w:ascii="宋体" w:hAnsi="宋体" w:eastAsia="宋体" w:cs="宋体"/>
                <w:b/>
                <w:bCs/>
                <w:color w:val="000000"/>
              </w:rPr>
              <w:t xml:space="preserve">    </w:t>
            </w:r>
          </w:p>
        </w:tc>
      </w:tr>
    </w:tbl>
    <w:p>
      <w:pPr>
        <w:pStyle w:val="3"/>
        <w:spacing w:line="360" w:lineRule="auto"/>
        <w:rPr>
          <w:rFonts w:asciiTheme="minorEastAsia" w:hAnsiTheme="minorEastAsia" w:eastAsiaTheme="minorEastAsia"/>
        </w:rPr>
        <w:sectPr>
          <w:footerReference r:id="rId4" w:type="default"/>
          <w:pgSz w:w="11906" w:h="16838"/>
          <w:pgMar w:top="1440" w:right="1800" w:bottom="1440" w:left="1800" w:header="851" w:footer="992" w:gutter="0"/>
          <w:cols w:space="425" w:num="1"/>
          <w:docGrid w:type="lines" w:linePitch="312" w:charSpace="0"/>
        </w:sectPr>
      </w:pPr>
      <w:r>
        <w:rPr>
          <w:rFonts w:hint="eastAsia" w:cs="宋体" w:asciiTheme="minorEastAsia" w:hAnsiTheme="minorEastAsia" w:eastAsiaTheme="minorEastAsia"/>
          <w:sz w:val="24"/>
          <w:szCs w:val="24"/>
        </w:rPr>
        <w:t>注：以上内容如有变化将另行通知。如通知其中某一内容发生变化，其余未提及的将不作变动。</w:t>
      </w:r>
    </w:p>
    <w:p>
      <w:pPr>
        <w:pStyle w:val="2"/>
        <w:numPr>
          <w:ilvl w:val="0"/>
          <w:numId w:val="7"/>
        </w:numPr>
        <w:jc w:val="center"/>
        <w:rPr>
          <w:rFonts w:cs="Times New Roman" w:asciiTheme="minorEastAsia" w:hAnsiTheme="minorEastAsia" w:eastAsiaTheme="minorEastAsia"/>
        </w:rPr>
      </w:pPr>
      <w:bookmarkStart w:id="10" w:name="_Toc25187"/>
      <w:bookmarkStart w:id="11" w:name="_Toc110244147"/>
      <w:r>
        <w:rPr>
          <w:rFonts w:hint="eastAsia" w:asciiTheme="minorEastAsia" w:hAnsiTheme="minorEastAsia" w:eastAsiaTheme="minorEastAsia"/>
        </w:rPr>
        <w:t>总则</w:t>
      </w:r>
      <w:bookmarkEnd w:id="10"/>
      <w:bookmarkEnd w:id="11"/>
    </w:p>
    <w:p>
      <w:pPr>
        <w:spacing w:line="336"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本次招标工作是按照《上虞区区属国有企业货物和服务采购管理办法》等相关法律、组织和实施，并由相关管理部门指导和监督。</w:t>
      </w:r>
    </w:p>
    <w:p>
      <w:pPr>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1.</w:t>
      </w:r>
      <w:r>
        <w:rPr>
          <w:rFonts w:hint="eastAsia" w:cs="宋体" w:asciiTheme="minorEastAsia" w:hAnsiTheme="minorEastAsia" w:eastAsiaTheme="minorEastAsia"/>
          <w:b/>
          <w:bCs/>
          <w:sz w:val="24"/>
          <w:szCs w:val="24"/>
        </w:rPr>
        <w:t>适用范围</w:t>
      </w:r>
    </w:p>
    <w:p>
      <w:pPr>
        <w:spacing w:line="336" w:lineRule="auto"/>
        <w:ind w:firstLine="480" w:firstLineChars="200"/>
        <w:rPr>
          <w:rFonts w:asciiTheme="minorEastAsia" w:hAnsiTheme="minorEastAsia" w:eastAsiaTheme="minorEastAsia"/>
          <w:sz w:val="24"/>
          <w:szCs w:val="24"/>
        </w:rPr>
      </w:pPr>
      <w:r>
        <w:rPr>
          <w:rFonts w:cs="宋体" w:asciiTheme="minorEastAsia" w:hAnsiTheme="minorEastAsia" w:eastAsiaTheme="minorEastAsia"/>
          <w:sz w:val="24"/>
          <w:szCs w:val="24"/>
        </w:rPr>
        <w:t>1.1</w:t>
      </w:r>
      <w:r>
        <w:rPr>
          <w:rFonts w:hint="eastAsia" w:cs="宋体" w:asciiTheme="minorEastAsia" w:hAnsiTheme="minorEastAsia" w:eastAsiaTheme="minorEastAsia"/>
          <w:sz w:val="24"/>
          <w:szCs w:val="24"/>
        </w:rPr>
        <w:t>本次询价工作仅适用于</w:t>
      </w:r>
      <w:r>
        <w:rPr>
          <w:rFonts w:hint="eastAsia" w:cs="宋体" w:asciiTheme="minorEastAsia" w:hAnsiTheme="minorEastAsia" w:eastAsiaTheme="minorEastAsia"/>
          <w:sz w:val="24"/>
          <w:szCs w:val="24"/>
          <w:u w:val="single"/>
          <w:lang w:eastAsia="zh-CN"/>
        </w:rPr>
        <w:t>建设大厦食堂设施设备采购</w:t>
      </w:r>
      <w:r>
        <w:rPr>
          <w:rFonts w:hint="eastAsia" w:cs="宋体" w:asciiTheme="minorEastAsia" w:hAnsiTheme="minorEastAsia" w:eastAsiaTheme="minorEastAsia"/>
          <w:sz w:val="24"/>
          <w:szCs w:val="24"/>
        </w:rPr>
        <w:t>。</w:t>
      </w:r>
    </w:p>
    <w:p>
      <w:pPr>
        <w:pStyle w:val="10"/>
        <w:spacing w:line="336" w:lineRule="auto"/>
        <w:ind w:firstLine="480" w:firstLineChars="200"/>
        <w:rPr>
          <w:rFonts w:asciiTheme="minorEastAsia" w:hAnsiTheme="minorEastAsia" w:eastAsiaTheme="minorEastAsia"/>
          <w:sz w:val="24"/>
          <w:szCs w:val="24"/>
        </w:rPr>
      </w:pPr>
      <w:r>
        <w:rPr>
          <w:rFonts w:cs="宋体" w:asciiTheme="minorEastAsia" w:hAnsiTheme="minorEastAsia" w:eastAsiaTheme="minorEastAsia"/>
          <w:sz w:val="24"/>
          <w:szCs w:val="24"/>
        </w:rPr>
        <w:t>1.2</w:t>
      </w:r>
      <w:r>
        <w:rPr>
          <w:rFonts w:hint="eastAsia" w:cs="宋体" w:asciiTheme="minorEastAsia" w:hAnsiTheme="minorEastAsia" w:eastAsiaTheme="minorEastAsia"/>
          <w:sz w:val="24"/>
          <w:szCs w:val="24"/>
        </w:rPr>
        <w:t>本项目采购方式采用询价方式。</w:t>
      </w:r>
    </w:p>
    <w:p>
      <w:pPr>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2.</w:t>
      </w:r>
      <w:r>
        <w:rPr>
          <w:rFonts w:hint="eastAsia" w:cs="宋体" w:asciiTheme="minorEastAsia" w:hAnsiTheme="minorEastAsia" w:eastAsiaTheme="minorEastAsia"/>
          <w:b/>
          <w:bCs/>
          <w:sz w:val="24"/>
          <w:szCs w:val="24"/>
        </w:rPr>
        <w:t>定义</w:t>
      </w:r>
    </w:p>
    <w:p>
      <w:pPr>
        <w:spacing w:line="336" w:lineRule="auto"/>
        <w:ind w:firstLine="480" w:firstLineChars="200"/>
        <w:rPr>
          <w:rFonts w:asciiTheme="minorEastAsia" w:hAnsiTheme="minorEastAsia" w:eastAsiaTheme="minorEastAsia"/>
          <w:sz w:val="24"/>
          <w:szCs w:val="24"/>
          <w:u w:val="single"/>
        </w:rPr>
      </w:pPr>
      <w:r>
        <w:rPr>
          <w:rFonts w:cs="宋体" w:asciiTheme="minorEastAsia" w:hAnsiTheme="minorEastAsia" w:eastAsiaTheme="minorEastAsia"/>
          <w:sz w:val="24"/>
          <w:szCs w:val="24"/>
        </w:rPr>
        <w:t>2.1</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val="zh-CN"/>
        </w:rPr>
        <w:t>采购人”系指</w:t>
      </w:r>
      <w:r>
        <w:rPr>
          <w:rFonts w:hint="eastAsia" w:cs="宋体" w:asciiTheme="minorEastAsia" w:hAnsiTheme="minorEastAsia" w:eastAsiaTheme="minorEastAsia"/>
          <w:sz w:val="24"/>
          <w:szCs w:val="24"/>
          <w:u w:val="single"/>
          <w:lang w:eastAsia="zh-CN"/>
        </w:rPr>
        <w:t>绍兴市上虞</w:t>
      </w:r>
      <w:r>
        <w:rPr>
          <w:rFonts w:hint="eastAsia" w:cs="宋体" w:asciiTheme="minorEastAsia" w:hAnsiTheme="minorEastAsia" w:eastAsiaTheme="minorEastAsia"/>
          <w:sz w:val="24"/>
          <w:szCs w:val="24"/>
          <w:u w:val="single"/>
          <w:lang w:val="en-US" w:eastAsia="zh-CN"/>
        </w:rPr>
        <w:t>城市建设集团</w:t>
      </w:r>
      <w:r>
        <w:rPr>
          <w:rFonts w:hint="eastAsia" w:cs="宋体" w:asciiTheme="minorEastAsia" w:hAnsiTheme="minorEastAsia" w:eastAsiaTheme="minorEastAsia"/>
          <w:sz w:val="24"/>
          <w:szCs w:val="24"/>
          <w:u w:val="single"/>
          <w:lang w:eastAsia="zh-CN"/>
        </w:rPr>
        <w:t>有限公司</w:t>
      </w:r>
      <w:r>
        <w:rPr>
          <w:rFonts w:hint="eastAsia" w:cs="宋体" w:asciiTheme="minorEastAsia" w:hAnsiTheme="minorEastAsia" w:eastAsiaTheme="minorEastAsia"/>
          <w:sz w:val="24"/>
          <w:szCs w:val="24"/>
        </w:rPr>
        <w:t>。采购人委托</w:t>
      </w:r>
      <w:r>
        <w:rPr>
          <w:rFonts w:hint="eastAsia" w:cs="宋体" w:asciiTheme="minorEastAsia" w:hAnsiTheme="minorEastAsia" w:eastAsiaTheme="minorEastAsia"/>
          <w:sz w:val="24"/>
          <w:szCs w:val="24"/>
          <w:u w:val="single"/>
        </w:rPr>
        <w:t>绍兴明晨建设项目管理有限公司</w:t>
      </w:r>
      <w:r>
        <w:rPr>
          <w:rFonts w:hint="eastAsia" w:cs="宋体" w:asciiTheme="minorEastAsia" w:hAnsiTheme="minorEastAsia" w:eastAsiaTheme="minorEastAsia"/>
          <w:sz w:val="24"/>
          <w:szCs w:val="24"/>
        </w:rPr>
        <w:t>为本项目采购代理机构。</w:t>
      </w:r>
    </w:p>
    <w:p>
      <w:pPr>
        <w:spacing w:line="336" w:lineRule="auto"/>
        <w:ind w:firstLine="480" w:firstLineChars="200"/>
        <w:rPr>
          <w:rFonts w:asciiTheme="minorEastAsia" w:hAnsiTheme="minorEastAsia" w:eastAsiaTheme="minorEastAsia"/>
          <w:sz w:val="24"/>
          <w:szCs w:val="24"/>
        </w:rPr>
      </w:pPr>
      <w:r>
        <w:rPr>
          <w:rFonts w:cs="宋体" w:asciiTheme="minorEastAsia" w:hAnsiTheme="minorEastAsia" w:eastAsiaTheme="minorEastAsia"/>
          <w:sz w:val="24"/>
          <w:szCs w:val="24"/>
        </w:rPr>
        <w:t>2.2</w:t>
      </w:r>
      <w:r>
        <w:rPr>
          <w:rFonts w:hint="eastAsia" w:cs="宋体" w:asciiTheme="minorEastAsia" w:hAnsiTheme="minorEastAsia" w:eastAsiaTheme="minorEastAsia"/>
          <w:sz w:val="24"/>
          <w:szCs w:val="24"/>
        </w:rPr>
        <w:t>“询价供应商”系指响应本次采购，参加本次询价的供应商。</w:t>
      </w:r>
    </w:p>
    <w:p>
      <w:pPr>
        <w:spacing w:line="336" w:lineRule="auto"/>
        <w:ind w:firstLine="480" w:firstLineChars="200"/>
        <w:rPr>
          <w:rFonts w:asciiTheme="minorEastAsia" w:hAnsiTheme="minorEastAsia" w:eastAsiaTheme="minorEastAsia"/>
          <w:sz w:val="24"/>
          <w:szCs w:val="24"/>
          <w:lang w:val="zh-CN"/>
        </w:rPr>
      </w:pPr>
      <w:r>
        <w:rPr>
          <w:rFonts w:cs="宋体" w:asciiTheme="minorEastAsia" w:hAnsiTheme="minorEastAsia" w:eastAsiaTheme="minorEastAsia"/>
          <w:sz w:val="24"/>
          <w:szCs w:val="24"/>
        </w:rPr>
        <w:t>2.3</w:t>
      </w:r>
      <w:r>
        <w:rPr>
          <w:rFonts w:hint="eastAsia" w:cs="宋体" w:asciiTheme="minorEastAsia" w:hAnsiTheme="minorEastAsia" w:eastAsiaTheme="minorEastAsia"/>
          <w:sz w:val="24"/>
          <w:szCs w:val="24"/>
          <w:lang w:val="zh-CN"/>
        </w:rPr>
        <w:t>“服务”系指</w:t>
      </w:r>
      <w:r>
        <w:rPr>
          <w:rFonts w:hint="eastAsia" w:cs="宋体" w:asciiTheme="minorEastAsia" w:hAnsiTheme="minorEastAsia" w:eastAsiaTheme="minorEastAsia"/>
          <w:sz w:val="24"/>
          <w:szCs w:val="24"/>
        </w:rPr>
        <w:t>询价供应商按合同规定，须承担的服务的义务</w:t>
      </w:r>
      <w:r>
        <w:rPr>
          <w:rFonts w:hint="eastAsia" w:cs="宋体" w:asciiTheme="minorEastAsia" w:hAnsiTheme="minorEastAsia" w:eastAsiaTheme="minorEastAsia"/>
          <w:sz w:val="24"/>
          <w:szCs w:val="24"/>
          <w:lang w:val="zh-CN"/>
        </w:rPr>
        <w:t>。</w:t>
      </w:r>
    </w:p>
    <w:p>
      <w:pPr>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3.</w:t>
      </w:r>
      <w:r>
        <w:rPr>
          <w:rFonts w:hint="eastAsia" w:cs="宋体" w:asciiTheme="minorEastAsia" w:hAnsiTheme="minorEastAsia" w:eastAsiaTheme="minorEastAsia"/>
          <w:b/>
          <w:bCs/>
          <w:sz w:val="24"/>
          <w:szCs w:val="24"/>
        </w:rPr>
        <w:t>采购项目概况</w:t>
      </w:r>
      <w:r>
        <w:rPr>
          <w:rFonts w:asciiTheme="minorEastAsia" w:hAnsiTheme="minorEastAsia" w:eastAsiaTheme="minorEastAsia"/>
          <w:b/>
          <w:bCs/>
          <w:sz w:val="24"/>
          <w:szCs w:val="24"/>
        </w:rPr>
        <w:tab/>
      </w:r>
      <w:r>
        <w:rPr>
          <w:rFonts w:asciiTheme="minorEastAsia" w:hAnsiTheme="minorEastAsia" w:eastAsiaTheme="minorEastAsia"/>
          <w:b/>
          <w:bCs/>
          <w:sz w:val="24"/>
          <w:szCs w:val="24"/>
        </w:rPr>
        <w:tab/>
      </w:r>
    </w:p>
    <w:p>
      <w:pPr>
        <w:spacing w:line="336"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详见询价公告相关内容，主要要求参见本文件第</w:t>
      </w:r>
      <w:r>
        <w:rPr>
          <w:rFonts w:hint="eastAsia" w:cs="宋体" w:asciiTheme="minorEastAsia" w:hAnsiTheme="minorEastAsia" w:eastAsiaTheme="minorEastAsia"/>
          <w:sz w:val="24"/>
          <w:szCs w:val="24"/>
          <w:u w:val="single"/>
        </w:rPr>
        <w:t>三</w:t>
      </w:r>
      <w:r>
        <w:rPr>
          <w:rFonts w:hint="eastAsia" w:cs="宋体" w:asciiTheme="minorEastAsia" w:hAnsiTheme="minorEastAsia" w:eastAsiaTheme="minorEastAsia"/>
          <w:sz w:val="24"/>
          <w:szCs w:val="24"/>
        </w:rPr>
        <w:t>部分。</w:t>
      </w:r>
    </w:p>
    <w:p>
      <w:pPr>
        <w:adjustRightInd w:val="0"/>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4.</w:t>
      </w:r>
      <w:r>
        <w:rPr>
          <w:rFonts w:hint="eastAsia" w:cs="宋体" w:asciiTheme="minorEastAsia" w:hAnsiTheme="minorEastAsia" w:eastAsiaTheme="minorEastAsia"/>
          <w:b/>
          <w:bCs/>
          <w:sz w:val="24"/>
          <w:szCs w:val="24"/>
        </w:rPr>
        <w:t>合格的询价供应商</w:t>
      </w:r>
    </w:p>
    <w:p>
      <w:pPr>
        <w:spacing w:line="336" w:lineRule="auto"/>
        <w:ind w:firstLine="480" w:firstLineChars="200"/>
        <w:rPr>
          <w:rFonts w:asciiTheme="minorEastAsia" w:hAnsiTheme="minorEastAsia" w:eastAsiaTheme="minorEastAsia"/>
          <w:sz w:val="24"/>
          <w:szCs w:val="24"/>
        </w:rPr>
      </w:pPr>
      <w:bookmarkStart w:id="12" w:name="_Toc208913145"/>
      <w:bookmarkStart w:id="13" w:name="_Toc193538208"/>
      <w:bookmarkStart w:id="14" w:name="_Toc197657950"/>
      <w:bookmarkStart w:id="15" w:name="_Toc211412066"/>
      <w:bookmarkStart w:id="16" w:name="_Toc193523219"/>
      <w:bookmarkStart w:id="17" w:name="_Toc209504018"/>
      <w:bookmarkStart w:id="18" w:name="_Toc207946571"/>
      <w:bookmarkStart w:id="19" w:name="_Toc197156227"/>
      <w:bookmarkStart w:id="20" w:name="_Toc197163261"/>
      <w:bookmarkStart w:id="21" w:name="_Toc209435242"/>
      <w:bookmarkStart w:id="22" w:name="_Toc209520993"/>
      <w:bookmarkStart w:id="23" w:name="_Toc197053926"/>
      <w:bookmarkStart w:id="24" w:name="_Toc208287611"/>
      <w:bookmarkStart w:id="25" w:name="_Toc204683265"/>
      <w:r>
        <w:rPr>
          <w:rFonts w:hint="eastAsia" w:cs="宋体" w:asciiTheme="minorEastAsia" w:hAnsiTheme="minorEastAsia" w:eastAsiaTheme="minorEastAsia"/>
          <w:sz w:val="24"/>
          <w:szCs w:val="24"/>
        </w:rPr>
        <w:t>详见询价采购公告询价供应商的资格要求规定。</w:t>
      </w:r>
      <w:bookmarkEnd w:id="12"/>
      <w:bookmarkEnd w:id="13"/>
      <w:bookmarkEnd w:id="14"/>
      <w:bookmarkEnd w:id="15"/>
      <w:bookmarkEnd w:id="16"/>
      <w:bookmarkEnd w:id="17"/>
      <w:bookmarkEnd w:id="18"/>
      <w:bookmarkEnd w:id="19"/>
      <w:bookmarkEnd w:id="20"/>
      <w:bookmarkEnd w:id="21"/>
      <w:bookmarkEnd w:id="22"/>
      <w:bookmarkEnd w:id="23"/>
      <w:bookmarkEnd w:id="24"/>
      <w:bookmarkEnd w:id="25"/>
    </w:p>
    <w:p>
      <w:pPr>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5.</w:t>
      </w:r>
      <w:r>
        <w:rPr>
          <w:rFonts w:hint="eastAsia" w:cs="宋体" w:asciiTheme="minorEastAsia" w:hAnsiTheme="minorEastAsia" w:eastAsiaTheme="minorEastAsia"/>
          <w:b/>
          <w:bCs/>
          <w:sz w:val="24"/>
          <w:szCs w:val="24"/>
        </w:rPr>
        <w:t>询价费用</w:t>
      </w:r>
    </w:p>
    <w:p>
      <w:pPr>
        <w:spacing w:line="336"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询价供应商应承担其参加询价所涉及的一切费用，不管结果如何，采购人对上述费用不负任何责任。</w:t>
      </w:r>
    </w:p>
    <w:p>
      <w:pPr>
        <w:pStyle w:val="2"/>
        <w:numPr>
          <w:ilvl w:val="0"/>
          <w:numId w:val="7"/>
        </w:numPr>
        <w:jc w:val="center"/>
        <w:rPr>
          <w:rFonts w:cs="Times New Roman" w:asciiTheme="minorEastAsia" w:hAnsiTheme="minorEastAsia" w:eastAsiaTheme="minorEastAsia"/>
        </w:rPr>
      </w:pPr>
      <w:bookmarkStart w:id="26" w:name="_Toc32689"/>
      <w:bookmarkStart w:id="27" w:name="_Toc110244148"/>
      <w:bookmarkStart w:id="28" w:name="_Toc25923"/>
      <w:bookmarkStart w:id="29" w:name="_Toc416992151"/>
      <w:bookmarkStart w:id="30" w:name="_Toc11814"/>
      <w:r>
        <w:rPr>
          <w:rFonts w:hint="eastAsia" w:asciiTheme="minorEastAsia" w:hAnsiTheme="minorEastAsia" w:eastAsiaTheme="minorEastAsia"/>
        </w:rPr>
        <w:t>询价文件</w:t>
      </w:r>
      <w:bookmarkEnd w:id="26"/>
      <w:bookmarkEnd w:id="27"/>
      <w:bookmarkEnd w:id="28"/>
      <w:bookmarkEnd w:id="29"/>
      <w:bookmarkEnd w:id="30"/>
    </w:p>
    <w:p>
      <w:pPr>
        <w:adjustRightInd w:val="0"/>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6.</w:t>
      </w:r>
      <w:r>
        <w:rPr>
          <w:rFonts w:hint="eastAsia" w:cs="宋体" w:asciiTheme="minorEastAsia" w:hAnsiTheme="minorEastAsia" w:eastAsiaTheme="minorEastAsia"/>
          <w:b/>
          <w:bCs/>
          <w:sz w:val="24"/>
          <w:szCs w:val="24"/>
        </w:rPr>
        <w:t>询价文件的组成</w:t>
      </w:r>
    </w:p>
    <w:p>
      <w:pPr>
        <w:adjustRightInd w:val="0"/>
        <w:spacing w:line="336" w:lineRule="auto"/>
        <w:ind w:firstLine="480" w:firstLineChars="200"/>
        <w:rPr>
          <w:rFonts w:asciiTheme="minorEastAsia" w:hAnsiTheme="minorEastAsia" w:eastAsiaTheme="minorEastAsia"/>
          <w:sz w:val="24"/>
          <w:szCs w:val="24"/>
        </w:rPr>
      </w:pPr>
      <w:r>
        <w:rPr>
          <w:rFonts w:cs="宋体" w:asciiTheme="minorEastAsia" w:hAnsiTheme="minorEastAsia" w:eastAsiaTheme="minorEastAsia"/>
          <w:sz w:val="24"/>
          <w:szCs w:val="24"/>
        </w:rPr>
        <w:t>6.1</w:t>
      </w:r>
      <w:r>
        <w:rPr>
          <w:rFonts w:hint="eastAsia" w:cs="宋体" w:asciiTheme="minorEastAsia" w:hAnsiTheme="minorEastAsia" w:eastAsiaTheme="minorEastAsia"/>
          <w:sz w:val="24"/>
          <w:szCs w:val="24"/>
        </w:rPr>
        <w:t>本询价文件包括目录所示内容及所有按本须知发出的补充资料（如果有）。</w:t>
      </w:r>
    </w:p>
    <w:p>
      <w:pPr>
        <w:adjustRightInd w:val="0"/>
        <w:spacing w:line="336" w:lineRule="auto"/>
        <w:ind w:firstLine="480" w:firstLineChars="200"/>
        <w:rPr>
          <w:rFonts w:asciiTheme="minorEastAsia" w:hAnsiTheme="minorEastAsia" w:eastAsiaTheme="minorEastAsia"/>
          <w:sz w:val="24"/>
          <w:szCs w:val="24"/>
        </w:rPr>
      </w:pPr>
      <w:r>
        <w:rPr>
          <w:rFonts w:cs="宋体" w:asciiTheme="minorEastAsia" w:hAnsiTheme="minorEastAsia" w:eastAsiaTheme="minorEastAsia"/>
          <w:sz w:val="24"/>
          <w:szCs w:val="24"/>
        </w:rPr>
        <w:t>6.2</w:t>
      </w:r>
      <w:r>
        <w:rPr>
          <w:rFonts w:hint="eastAsia" w:cs="宋体" w:asciiTheme="minorEastAsia" w:hAnsiTheme="minorEastAsia" w:eastAsiaTheme="minorEastAsia"/>
          <w:sz w:val="24"/>
          <w:szCs w:val="24"/>
        </w:rPr>
        <w:t>除上述所列内容外，采购人及采购代理机构的任何工作人员对询价供应商所作的任何口头解释、介绍、答复，只能供询价供应商参考，对采购人和询价供应商无任何约束力。</w:t>
      </w:r>
    </w:p>
    <w:p>
      <w:pPr>
        <w:adjustRightInd w:val="0"/>
        <w:spacing w:line="336" w:lineRule="auto"/>
        <w:ind w:firstLine="480" w:firstLineChars="200"/>
        <w:rPr>
          <w:rFonts w:asciiTheme="minorEastAsia" w:hAnsiTheme="minorEastAsia" w:eastAsiaTheme="minorEastAsia"/>
          <w:sz w:val="24"/>
          <w:szCs w:val="24"/>
        </w:rPr>
      </w:pPr>
      <w:r>
        <w:rPr>
          <w:rFonts w:cs="宋体" w:asciiTheme="minorEastAsia" w:hAnsiTheme="minorEastAsia" w:eastAsiaTheme="minorEastAsia"/>
          <w:sz w:val="24"/>
          <w:szCs w:val="24"/>
        </w:rPr>
        <w:t>6.3</w:t>
      </w:r>
      <w:r>
        <w:rPr>
          <w:rFonts w:hint="eastAsia" w:cs="宋体" w:asciiTheme="minorEastAsia" w:hAnsiTheme="minorEastAsia" w:eastAsiaTheme="minorEastAsia"/>
          <w:sz w:val="24"/>
          <w:szCs w:val="24"/>
        </w:rPr>
        <w:t>询价供应商应仔细阅读询价文件的所有内容，按照文件要求提交响应文件，并保证所提交的全部资料的真实性。不按询价文件的要求提供的响应文件和资料，可能导致询价被拒绝。</w:t>
      </w:r>
    </w:p>
    <w:p>
      <w:pPr>
        <w:spacing w:line="336" w:lineRule="auto"/>
        <w:ind w:firstLine="480" w:firstLineChars="200"/>
        <w:rPr>
          <w:rFonts w:asciiTheme="minorEastAsia" w:hAnsiTheme="minorEastAsia" w:eastAsiaTheme="minorEastAsia"/>
          <w:sz w:val="24"/>
          <w:szCs w:val="24"/>
        </w:rPr>
      </w:pPr>
      <w:r>
        <w:rPr>
          <w:rFonts w:cs="宋体" w:asciiTheme="minorEastAsia" w:hAnsiTheme="minorEastAsia" w:eastAsiaTheme="minorEastAsia"/>
          <w:sz w:val="24"/>
          <w:szCs w:val="24"/>
        </w:rPr>
        <w:t>6.4</w:t>
      </w:r>
      <w:r>
        <w:rPr>
          <w:rFonts w:hint="eastAsia" w:cs="宋体" w:asciiTheme="minorEastAsia" w:hAnsiTheme="minorEastAsia" w:eastAsiaTheme="minorEastAsia"/>
          <w:sz w:val="24"/>
          <w:szCs w:val="24"/>
        </w:rPr>
        <w:t>询价文件是成交后签订合同的依据，对双方均具有约束力，凡不遵守询价文件规定或对询价文件的实质性内容不响应的报价，将可能被拒绝或以无效标处理。本询价文件由采购人或采购代理机构进行解释。</w:t>
      </w:r>
    </w:p>
    <w:p>
      <w:pPr>
        <w:adjustRightInd w:val="0"/>
        <w:spacing w:line="336" w:lineRule="auto"/>
        <w:ind w:firstLine="472" w:firstLineChars="196"/>
        <w:rPr>
          <w:rFonts w:asciiTheme="minorEastAsia" w:hAnsiTheme="minorEastAsia" w:eastAsiaTheme="minorEastAsia"/>
          <w:b/>
          <w:bCs/>
          <w:sz w:val="24"/>
          <w:szCs w:val="24"/>
        </w:rPr>
      </w:pPr>
      <w:r>
        <w:rPr>
          <w:rFonts w:cs="宋体" w:asciiTheme="minorEastAsia" w:hAnsiTheme="minorEastAsia" w:eastAsiaTheme="minorEastAsia"/>
          <w:b/>
          <w:bCs/>
          <w:sz w:val="24"/>
          <w:szCs w:val="24"/>
        </w:rPr>
        <w:t>7.</w:t>
      </w:r>
      <w:r>
        <w:rPr>
          <w:rFonts w:hint="eastAsia" w:cs="宋体" w:asciiTheme="minorEastAsia" w:hAnsiTheme="minorEastAsia" w:eastAsiaTheme="minorEastAsia"/>
          <w:b/>
          <w:bCs/>
          <w:sz w:val="24"/>
          <w:szCs w:val="24"/>
        </w:rPr>
        <w:t>询价文件的澄清与修改</w:t>
      </w:r>
    </w:p>
    <w:p>
      <w:pPr>
        <w:pStyle w:val="12"/>
        <w:spacing w:line="336" w:lineRule="auto"/>
        <w:ind w:firstLine="480" w:firstLineChars="200"/>
        <w:rPr>
          <w:rFonts w:cs="Times New Roman" w:asciiTheme="minorEastAsia" w:hAnsiTheme="minorEastAsia" w:eastAsiaTheme="minorEastAsia"/>
        </w:rPr>
      </w:pPr>
      <w:r>
        <w:rPr>
          <w:rFonts w:asciiTheme="minorEastAsia" w:hAnsiTheme="minorEastAsia" w:eastAsiaTheme="minorEastAsia"/>
        </w:rPr>
        <w:t>7.1</w:t>
      </w:r>
      <w:r>
        <w:rPr>
          <w:rFonts w:hint="eastAsia" w:asciiTheme="minorEastAsia" w:hAnsiTheme="minorEastAsia" w:eastAsiaTheme="minorEastAsia"/>
        </w:rPr>
        <w:t>询价供应商在收到询价文件后，若有问题需要澄清或认为有必要与采购人进行技术交流，应于前附表规定时间前，将问题按前附表要求发至指定邮箱里。（电子邮件只作方便工作之用，与书面文件有不一致的，以书面文件为准）。截止期后的疑问将不予受理、答复。</w:t>
      </w:r>
    </w:p>
    <w:p>
      <w:pPr>
        <w:pStyle w:val="12"/>
        <w:spacing w:line="336" w:lineRule="auto"/>
        <w:ind w:right="-240" w:rightChars="-120" w:firstLine="480" w:firstLineChars="200"/>
        <w:rPr>
          <w:rFonts w:cs="Times New Roman" w:asciiTheme="minorEastAsia" w:hAnsiTheme="minorEastAsia" w:eastAsiaTheme="minorEastAsia"/>
        </w:rPr>
      </w:pPr>
      <w:r>
        <w:rPr>
          <w:rFonts w:asciiTheme="minorEastAsia" w:hAnsiTheme="minorEastAsia" w:eastAsiaTheme="minorEastAsia"/>
        </w:rPr>
        <w:t>7.2</w:t>
      </w:r>
      <w:r>
        <w:rPr>
          <w:rFonts w:hint="eastAsia" w:asciiTheme="minorEastAsia" w:hAnsiTheme="minorEastAsia" w:eastAsiaTheme="minorEastAsia"/>
        </w:rPr>
        <w:t>询价供应商要求解释或澄清的问题应以书面形式，并加盖公章、写明日期。</w:t>
      </w:r>
    </w:p>
    <w:p>
      <w:pPr>
        <w:adjustRightInd w:val="0"/>
        <w:spacing w:line="336" w:lineRule="auto"/>
        <w:ind w:firstLine="480" w:firstLineChars="200"/>
        <w:rPr>
          <w:rFonts w:asciiTheme="minorEastAsia" w:hAnsiTheme="minorEastAsia" w:eastAsiaTheme="minorEastAsia"/>
          <w:sz w:val="24"/>
          <w:szCs w:val="24"/>
        </w:rPr>
      </w:pPr>
      <w:r>
        <w:rPr>
          <w:rFonts w:cs="宋体" w:asciiTheme="minorEastAsia" w:hAnsiTheme="minorEastAsia" w:eastAsiaTheme="minorEastAsia"/>
          <w:sz w:val="24"/>
          <w:szCs w:val="24"/>
        </w:rPr>
        <w:t>7.3</w:t>
      </w:r>
      <w:r>
        <w:rPr>
          <w:rFonts w:hint="eastAsia" w:cs="宋体" w:asciiTheme="minorEastAsia" w:hAnsiTheme="minorEastAsia" w:eastAsiaTheme="minorEastAsia"/>
          <w:sz w:val="24"/>
          <w:szCs w:val="24"/>
        </w:rPr>
        <w:t>提交响应文件截止之日前，采购人、采购代理机构可以对已发出的询价文件进行必要的澄清或者修改，澄清或者修改的内容作为询价文件的组成部分。</w:t>
      </w:r>
    </w:p>
    <w:p>
      <w:pPr>
        <w:adjustRightInd w:val="0"/>
        <w:spacing w:line="336" w:lineRule="auto"/>
        <w:ind w:firstLine="480" w:firstLineChars="200"/>
        <w:rPr>
          <w:rFonts w:asciiTheme="minorEastAsia" w:hAnsiTheme="minorEastAsia" w:eastAsiaTheme="minorEastAsia"/>
          <w:sz w:val="24"/>
          <w:szCs w:val="24"/>
        </w:rPr>
      </w:pPr>
      <w:r>
        <w:rPr>
          <w:rFonts w:cs="宋体" w:asciiTheme="minorEastAsia" w:hAnsiTheme="minorEastAsia" w:eastAsiaTheme="minorEastAsia"/>
          <w:sz w:val="24"/>
          <w:szCs w:val="24"/>
        </w:rPr>
        <w:t>7.4</w:t>
      </w:r>
      <w:r>
        <w:rPr>
          <w:rFonts w:hint="eastAsia" w:cs="宋体" w:asciiTheme="minorEastAsia" w:hAnsiTheme="minorEastAsia" w:eastAsiaTheme="minorEastAsia"/>
          <w:sz w:val="24"/>
          <w:szCs w:val="24"/>
        </w:rPr>
        <w:t>询价文件的澄清修改文件及更正补充公告，请自行登录浙江政府采购网或绍兴市上虞区公共资源交易中心网站，在采购公告页面中下载。</w:t>
      </w:r>
    </w:p>
    <w:p>
      <w:pPr>
        <w:adjustRightInd w:val="0"/>
        <w:spacing w:line="336" w:lineRule="auto"/>
        <w:ind w:firstLine="480" w:firstLineChars="200"/>
        <w:rPr>
          <w:rFonts w:asciiTheme="minorEastAsia" w:hAnsiTheme="minorEastAsia" w:eastAsiaTheme="minorEastAsia"/>
          <w:sz w:val="24"/>
          <w:szCs w:val="24"/>
        </w:rPr>
      </w:pPr>
      <w:r>
        <w:rPr>
          <w:rFonts w:cs="宋体" w:asciiTheme="minorEastAsia" w:hAnsiTheme="minorEastAsia" w:eastAsiaTheme="minorEastAsia"/>
          <w:sz w:val="24"/>
          <w:szCs w:val="24"/>
        </w:rPr>
        <w:t>7.5</w:t>
      </w:r>
      <w:r>
        <w:rPr>
          <w:rFonts w:hint="eastAsia" w:cs="宋体" w:asciiTheme="minorEastAsia" w:hAnsiTheme="minorEastAsia" w:eastAsiaTheme="minorEastAsia"/>
          <w:sz w:val="24"/>
          <w:szCs w:val="24"/>
        </w:rPr>
        <w:t>澄清或者修改的内容可能影响响应文件编制的，采购人、采购代理机构将在提交响应文件截止时间至少3日前，以公告形式通知所有获取询价文件的供应商；不足3日的，采购人、采购代理机构可能会顺延提交首次响应文件截止时间。澄清或者修改的内容未对原询价文件作出重大修改或不会影响响应文件编制的，递交首次响应文件截止时间不变。</w:t>
      </w:r>
    </w:p>
    <w:p>
      <w:pPr>
        <w:adjustRightInd w:val="0"/>
        <w:spacing w:line="336" w:lineRule="auto"/>
        <w:ind w:firstLine="480" w:firstLineChars="200"/>
        <w:rPr>
          <w:rFonts w:asciiTheme="minorEastAsia" w:hAnsiTheme="minorEastAsia" w:eastAsiaTheme="minorEastAsia"/>
          <w:sz w:val="24"/>
          <w:szCs w:val="24"/>
        </w:rPr>
      </w:pPr>
      <w:r>
        <w:rPr>
          <w:rFonts w:cs="宋体" w:asciiTheme="minorEastAsia" w:hAnsiTheme="minorEastAsia" w:eastAsiaTheme="minorEastAsia"/>
          <w:sz w:val="24"/>
          <w:szCs w:val="24"/>
        </w:rPr>
        <w:t>7.6</w:t>
      </w:r>
      <w:r>
        <w:rPr>
          <w:rFonts w:hint="eastAsia" w:cs="宋体" w:asciiTheme="minorEastAsia" w:hAnsiTheme="minorEastAsia" w:eastAsiaTheme="minorEastAsia"/>
          <w:sz w:val="24"/>
          <w:szCs w:val="24"/>
        </w:rPr>
        <w:t>询价文件澄清、答复、修改、补充的内容为询价文件的组成部分。</w:t>
      </w:r>
    </w:p>
    <w:p>
      <w:pPr>
        <w:pStyle w:val="3"/>
        <w:spacing w:line="336" w:lineRule="auto"/>
        <w:rPr>
          <w:rFonts w:asciiTheme="minorEastAsia" w:hAnsiTheme="minorEastAsia" w:eastAsiaTheme="minorEastAsia"/>
          <w:sz w:val="24"/>
          <w:szCs w:val="24"/>
        </w:rPr>
      </w:pPr>
      <w:r>
        <w:rPr>
          <w:rFonts w:cs="宋体" w:asciiTheme="minorEastAsia" w:hAnsiTheme="minorEastAsia" w:eastAsiaTheme="minorEastAsia"/>
          <w:sz w:val="24"/>
          <w:szCs w:val="24"/>
        </w:rPr>
        <w:t>7.7</w:t>
      </w:r>
      <w:r>
        <w:rPr>
          <w:rFonts w:hint="eastAsia" w:cs="宋体" w:asciiTheme="minorEastAsia" w:hAnsiTheme="minorEastAsia" w:eastAsiaTheme="minorEastAsia"/>
          <w:sz w:val="24"/>
          <w:szCs w:val="24"/>
        </w:rPr>
        <w:t>询价文件发售截止日后，经采购人同意后购买询价文件的询价供应商不得对询价文件和补充文件提出答疑或质疑。</w:t>
      </w:r>
    </w:p>
    <w:p>
      <w:pPr>
        <w:pStyle w:val="2"/>
        <w:numPr>
          <w:ilvl w:val="0"/>
          <w:numId w:val="7"/>
        </w:numPr>
        <w:jc w:val="center"/>
        <w:rPr>
          <w:rFonts w:cs="Times New Roman" w:asciiTheme="minorEastAsia" w:hAnsiTheme="minorEastAsia" w:eastAsiaTheme="minorEastAsia"/>
        </w:rPr>
      </w:pPr>
      <w:bookmarkStart w:id="31" w:name="_Toc10810"/>
      <w:bookmarkStart w:id="32" w:name="_Toc8860"/>
      <w:bookmarkStart w:id="33" w:name="_Toc6273"/>
      <w:bookmarkStart w:id="34" w:name="_Toc23975"/>
      <w:bookmarkStart w:id="35" w:name="_Toc391298957"/>
      <w:bookmarkStart w:id="36" w:name="_Toc26027"/>
      <w:bookmarkStart w:id="37" w:name="_Toc11669"/>
      <w:bookmarkStart w:id="38" w:name="_Toc14650"/>
      <w:bookmarkStart w:id="39" w:name="_Toc7126"/>
      <w:bookmarkStart w:id="40" w:name="_Toc11515"/>
      <w:bookmarkStart w:id="41" w:name="_Toc24622"/>
      <w:bookmarkStart w:id="42" w:name="_Toc23135"/>
      <w:bookmarkStart w:id="43" w:name="_Toc31748"/>
      <w:bookmarkStart w:id="44" w:name="_Toc6457"/>
      <w:bookmarkStart w:id="45" w:name="_Toc18702"/>
      <w:bookmarkStart w:id="46" w:name="_Toc10669"/>
      <w:bookmarkStart w:id="47" w:name="_Toc1202"/>
      <w:bookmarkStart w:id="48" w:name="_Toc26603"/>
      <w:bookmarkStart w:id="49" w:name="_Toc1729"/>
      <w:bookmarkStart w:id="50" w:name="_Toc1828"/>
      <w:bookmarkStart w:id="51" w:name="_Toc11692"/>
      <w:bookmarkStart w:id="52" w:name="_Toc6079"/>
      <w:bookmarkStart w:id="53" w:name="_Toc11093"/>
      <w:r>
        <w:rPr>
          <w:rFonts w:asciiTheme="minorEastAsia" w:hAnsiTheme="minorEastAsia" w:eastAsiaTheme="minorEastAsia"/>
        </w:rPr>
        <w:tab/>
      </w:r>
      <w:bookmarkStart w:id="54" w:name="_Toc110244149"/>
      <w:r>
        <w:rPr>
          <w:rFonts w:hint="eastAsia" w:asciiTheme="minorEastAsia" w:hAnsiTheme="minorEastAsia" w:eastAsiaTheme="minorEastAsia"/>
        </w:rPr>
        <w:t>询价响应文件的编写</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spacing w:line="336" w:lineRule="auto"/>
        <w:ind w:firstLine="480" w:firstLineChars="200"/>
        <w:rPr>
          <w:rFonts w:asciiTheme="minorEastAsia" w:hAnsiTheme="minorEastAsia" w:eastAsiaTheme="minorEastAsia"/>
          <w:sz w:val="24"/>
          <w:szCs w:val="24"/>
        </w:rPr>
      </w:pPr>
      <w:r>
        <w:rPr>
          <w:rFonts w:cs="宋体" w:asciiTheme="minorEastAsia" w:hAnsiTheme="minorEastAsia" w:eastAsiaTheme="minorEastAsia"/>
          <w:sz w:val="24"/>
          <w:szCs w:val="24"/>
        </w:rPr>
        <w:t>8.</w:t>
      </w:r>
      <w:r>
        <w:rPr>
          <w:rFonts w:hint="eastAsia" w:cs="宋体" w:asciiTheme="minorEastAsia" w:hAnsiTheme="minorEastAsia" w:eastAsiaTheme="minorEastAsia"/>
          <w:sz w:val="24"/>
          <w:szCs w:val="24"/>
        </w:rPr>
        <w:t>要求</w:t>
      </w:r>
    </w:p>
    <w:p>
      <w:pPr>
        <w:spacing w:line="336" w:lineRule="auto"/>
        <w:ind w:firstLine="480" w:firstLineChars="200"/>
        <w:rPr>
          <w:rFonts w:asciiTheme="minorEastAsia" w:hAnsiTheme="minorEastAsia" w:eastAsiaTheme="minorEastAsia"/>
          <w:sz w:val="24"/>
          <w:szCs w:val="24"/>
        </w:rPr>
      </w:pPr>
      <w:r>
        <w:rPr>
          <w:rFonts w:cs="宋体" w:asciiTheme="minorEastAsia" w:hAnsiTheme="minorEastAsia" w:eastAsiaTheme="minorEastAsia"/>
          <w:sz w:val="24"/>
          <w:szCs w:val="24"/>
        </w:rPr>
        <w:t>8.1</w:t>
      </w:r>
      <w:r>
        <w:rPr>
          <w:rFonts w:hint="eastAsia" w:cs="宋体" w:asciiTheme="minorEastAsia" w:hAnsiTheme="minorEastAsia" w:eastAsiaTheme="minorEastAsia"/>
          <w:sz w:val="24"/>
          <w:szCs w:val="24"/>
        </w:rPr>
        <w:t>供应商应仔细阅读询价文件的所有内容，按照询价文件的要求提交询价响应文件。询价响应文件应对询价文件的要求做出实质性响应，并保证所提供的全部资料的真实性，否则视其为虚假响应，其响应将被否决。</w:t>
      </w:r>
    </w:p>
    <w:p>
      <w:pPr>
        <w:spacing w:line="336" w:lineRule="auto"/>
        <w:ind w:firstLine="480" w:firstLineChars="200"/>
        <w:rPr>
          <w:rFonts w:asciiTheme="minorEastAsia" w:hAnsiTheme="minorEastAsia" w:eastAsiaTheme="minorEastAsia"/>
          <w:sz w:val="24"/>
          <w:szCs w:val="24"/>
        </w:rPr>
      </w:pPr>
      <w:r>
        <w:rPr>
          <w:rFonts w:cs="宋体" w:asciiTheme="minorEastAsia" w:hAnsiTheme="minorEastAsia" w:eastAsiaTheme="minorEastAsia"/>
          <w:sz w:val="24"/>
          <w:szCs w:val="24"/>
        </w:rPr>
        <w:t>8.2</w:t>
      </w:r>
      <w:r>
        <w:rPr>
          <w:rFonts w:hint="eastAsia" w:cs="宋体" w:asciiTheme="minorEastAsia" w:hAnsiTheme="minorEastAsia" w:eastAsiaTheme="minorEastAsia"/>
          <w:sz w:val="24"/>
          <w:szCs w:val="24"/>
        </w:rPr>
        <w:t>报价</w:t>
      </w:r>
    </w:p>
    <w:p>
      <w:pPr>
        <w:spacing w:line="336" w:lineRule="auto"/>
        <w:ind w:firstLine="480" w:firstLineChars="200"/>
        <w:rPr>
          <w:rFonts w:asciiTheme="minorEastAsia" w:hAnsiTheme="minorEastAsia" w:eastAsiaTheme="minorEastAsia"/>
          <w:b/>
          <w:bCs/>
          <w:sz w:val="24"/>
          <w:szCs w:val="24"/>
          <w:shd w:val="clear" w:color="FFFFFF" w:fill="D9D9D9"/>
        </w:rPr>
      </w:pPr>
      <w:r>
        <w:rPr>
          <w:rFonts w:cs="宋体" w:asciiTheme="minorEastAsia" w:hAnsiTheme="minorEastAsia" w:eastAsiaTheme="minorEastAsia"/>
          <w:sz w:val="24"/>
          <w:szCs w:val="24"/>
        </w:rPr>
        <w:t>8.2.1</w:t>
      </w:r>
      <w:r>
        <w:rPr>
          <w:rFonts w:hint="eastAsia" w:cs="宋体" w:asciiTheme="minorEastAsia" w:hAnsiTheme="minorEastAsia" w:eastAsiaTheme="minorEastAsia"/>
          <w:sz w:val="24"/>
          <w:szCs w:val="24"/>
        </w:rPr>
        <w:t>本次报价币种为人民币。</w:t>
      </w:r>
    </w:p>
    <w:p>
      <w:pPr>
        <w:pStyle w:val="52"/>
        <w:tabs>
          <w:tab w:val="left" w:pos="0"/>
        </w:tabs>
        <w:spacing w:before="0" w:line="336" w:lineRule="auto"/>
        <w:ind w:firstLine="480"/>
        <w:rPr>
          <w:rFonts w:asciiTheme="minorEastAsia" w:hAnsiTheme="minorEastAsia" w:eastAsiaTheme="minorEastAsia"/>
          <w:u w:val="single"/>
        </w:rPr>
      </w:pPr>
      <w:r>
        <w:rPr>
          <w:rFonts w:cs="宋体" w:asciiTheme="minorEastAsia" w:hAnsiTheme="minorEastAsia" w:eastAsiaTheme="minorEastAsia"/>
        </w:rPr>
        <w:t>8.2.2</w:t>
      </w:r>
      <w:r>
        <w:rPr>
          <w:rFonts w:hint="eastAsia" w:cs="宋体" w:asciiTheme="minorEastAsia" w:hAnsiTheme="minorEastAsia" w:eastAsiaTheme="minorEastAsia"/>
        </w:rPr>
        <w:t>本次报价应包含</w:t>
      </w:r>
      <w:r>
        <w:rPr>
          <w:rFonts w:hint="eastAsia" w:ascii="宋体" w:hAnsi="宋体" w:cs="宋体"/>
          <w:bCs/>
        </w:rPr>
        <w:t>设备的</w:t>
      </w:r>
      <w:r>
        <w:rPr>
          <w:rFonts w:ascii="宋体" w:hAnsi="宋体"/>
          <w:bCs/>
        </w:rPr>
        <w:t>设计、制造、供货、发货、</w:t>
      </w:r>
      <w:r>
        <w:rPr>
          <w:rFonts w:hint="eastAsia" w:ascii="宋体" w:hAnsi="宋体" w:cs="宋体"/>
          <w:bCs/>
        </w:rPr>
        <w:t>配件费、材料费、安装费、调试费、</w:t>
      </w:r>
      <w:r>
        <w:rPr>
          <w:rFonts w:hint="eastAsia" w:ascii="宋体" w:hAnsi="宋体"/>
          <w:bCs/>
        </w:rPr>
        <w:t>指导安装、</w:t>
      </w:r>
      <w:r>
        <w:rPr>
          <w:rFonts w:ascii="宋体" w:hAnsi="宋体"/>
          <w:bCs/>
        </w:rPr>
        <w:t>保险</w:t>
      </w:r>
      <w:r>
        <w:rPr>
          <w:rFonts w:hint="eastAsia" w:ascii="宋体" w:hAnsi="宋体"/>
          <w:bCs/>
        </w:rPr>
        <w:t>、</w:t>
      </w:r>
      <w:r>
        <w:rPr>
          <w:rFonts w:hint="eastAsia" w:ascii="宋体" w:hAnsi="宋体" w:cs="宋体"/>
          <w:bCs/>
        </w:rPr>
        <w:t>人工费、管理费、税费、运费、规费、现场勘查费和交付使用、设备在本文规定的质保期内的维修保养，以及为达到与</w:t>
      </w:r>
      <w:r>
        <w:rPr>
          <w:rFonts w:hint="eastAsia" w:ascii="宋体" w:hAnsi="宋体" w:eastAsia="宋体" w:cs="宋体"/>
          <w:bCs/>
        </w:rPr>
        <w:t>原有设备平台无</w:t>
      </w:r>
      <w:r>
        <w:rPr>
          <w:rFonts w:hint="eastAsia" w:ascii="宋体" w:hAnsi="宋体" w:cs="宋体"/>
          <w:bCs/>
        </w:rPr>
        <w:t>缝对接使设备能安全、满意的运行设施等，并应保证设备在各方面均能达到正常运行要求的费用，以及招标代理费和其它一切不可预见和实际所需的一切其他费用等</w:t>
      </w:r>
      <w:r>
        <w:rPr>
          <w:rFonts w:hint="eastAsia" w:cs="宋体" w:asciiTheme="minorEastAsia" w:hAnsiTheme="minorEastAsia" w:eastAsiaTheme="minorEastAsia"/>
        </w:rPr>
        <w:t>。投标报价为供应商所能承受的最低、最终报价，供应商不得再要求追加任何费用。</w:t>
      </w:r>
    </w:p>
    <w:p>
      <w:pPr>
        <w:spacing w:line="336"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投标报价固定是指供应商所填写的投标报价在合同实施期间不因市场因素而变动，供应商在计算报价时可考虑一定的风险系数（由供应商自行考虑）。</w:t>
      </w:r>
    </w:p>
    <w:p>
      <w:pPr>
        <w:spacing w:line="336" w:lineRule="auto"/>
        <w:ind w:firstLine="480" w:firstLineChars="200"/>
        <w:rPr>
          <w:rFonts w:asciiTheme="minorEastAsia" w:hAnsiTheme="minorEastAsia" w:eastAsiaTheme="minorEastAsia"/>
        </w:rPr>
      </w:pPr>
      <w:r>
        <w:rPr>
          <w:rFonts w:cs="宋体" w:asciiTheme="minorEastAsia" w:hAnsiTheme="minorEastAsia" w:eastAsiaTheme="minorEastAsia"/>
          <w:sz w:val="24"/>
          <w:szCs w:val="24"/>
        </w:rPr>
        <w:t>8.2.3</w:t>
      </w:r>
      <w:r>
        <w:rPr>
          <w:rFonts w:hint="eastAsia" w:cs="宋体" w:asciiTheme="minorEastAsia" w:hAnsiTheme="minorEastAsia" w:eastAsiaTheme="minorEastAsia"/>
          <w:sz w:val="24"/>
          <w:szCs w:val="24"/>
        </w:rPr>
        <w:t>供应商的报价作为供应商计算单价或总价的依据，应是完成技术文件中的所有要求，不得以任何理由予以重复，供应商对报价若有说明应在报价一览表备注处注明。任何有选择的报价方案及价格将不予接受。</w:t>
      </w:r>
    </w:p>
    <w:p>
      <w:pPr>
        <w:pStyle w:val="15"/>
        <w:spacing w:line="336" w:lineRule="auto"/>
        <w:ind w:firstLine="482" w:firstLineChars="200"/>
        <w:rPr>
          <w:rFonts w:cs="Times New Roman" w:asciiTheme="minorEastAsia" w:hAnsiTheme="minorEastAsia" w:eastAsiaTheme="minorEastAsia"/>
          <w:b/>
          <w:bCs/>
          <w:sz w:val="24"/>
          <w:szCs w:val="24"/>
          <w:u w:val="single"/>
        </w:rPr>
      </w:pPr>
      <w:r>
        <w:rPr>
          <w:rFonts w:asciiTheme="minorEastAsia" w:hAnsiTheme="minorEastAsia" w:eastAsiaTheme="minorEastAsia"/>
          <w:b/>
          <w:bCs/>
          <w:sz w:val="24"/>
          <w:szCs w:val="24"/>
        </w:rPr>
        <w:t>9.</w:t>
      </w:r>
      <w:r>
        <w:rPr>
          <w:rFonts w:hint="eastAsia" w:asciiTheme="minorEastAsia" w:hAnsiTheme="minorEastAsia" w:eastAsiaTheme="minorEastAsia"/>
          <w:b/>
          <w:bCs/>
          <w:sz w:val="24"/>
          <w:szCs w:val="24"/>
        </w:rPr>
        <w:t>响应文件的组成</w:t>
      </w:r>
      <w:r>
        <w:rPr>
          <w:rFonts w:hint="eastAsia" w:asciiTheme="minorEastAsia" w:hAnsiTheme="minorEastAsia" w:eastAsiaTheme="minorEastAsia"/>
          <w:b/>
          <w:bCs/>
          <w:sz w:val="24"/>
          <w:szCs w:val="24"/>
          <w:u w:val="single"/>
        </w:rPr>
        <w:t>（供应商应根据采购文件的要求提供相应的内容且设置关联定位，供应商可查看《供应商</w:t>
      </w:r>
      <w:r>
        <w:rPr>
          <w:rFonts w:asciiTheme="minorEastAsia" w:hAnsiTheme="minorEastAsia" w:eastAsiaTheme="minorEastAsia"/>
          <w:b/>
          <w:bCs/>
          <w:sz w:val="24"/>
          <w:szCs w:val="24"/>
          <w:u w:val="single"/>
        </w:rPr>
        <w:t>-</w:t>
      </w:r>
      <w:r>
        <w:rPr>
          <w:rFonts w:hint="eastAsia" w:asciiTheme="minorEastAsia" w:hAnsiTheme="minorEastAsia" w:eastAsiaTheme="minorEastAsia"/>
          <w:b/>
          <w:bCs/>
          <w:sz w:val="24"/>
          <w:szCs w:val="24"/>
          <w:u w:val="single"/>
        </w:rPr>
        <w:t>政府采购项目电子交易操作指南》进行操作：</w:t>
      </w:r>
      <w:r>
        <w:rPr>
          <w:rFonts w:asciiTheme="minorEastAsia" w:hAnsiTheme="minorEastAsia" w:eastAsiaTheme="minorEastAsia"/>
          <w:b/>
          <w:bCs/>
          <w:sz w:val="24"/>
          <w:szCs w:val="24"/>
          <w:u w:val="single"/>
        </w:rPr>
        <w:t>https://help.zcygov.cn/web/site_2/2018/12-28/2573.html</w:t>
      </w:r>
      <w:r>
        <w:rPr>
          <w:rFonts w:hint="eastAsia" w:asciiTheme="minorEastAsia" w:hAnsiTheme="minorEastAsia" w:eastAsiaTheme="minorEastAsia"/>
          <w:b/>
          <w:bCs/>
          <w:sz w:val="24"/>
          <w:szCs w:val="24"/>
          <w:u w:val="single"/>
        </w:rPr>
        <w:t>）</w:t>
      </w:r>
    </w:p>
    <w:p>
      <w:pPr>
        <w:pStyle w:val="52"/>
        <w:tabs>
          <w:tab w:val="left" w:pos="0"/>
        </w:tabs>
        <w:spacing w:before="0" w:line="336" w:lineRule="auto"/>
        <w:ind w:firstLine="480"/>
        <w:rPr>
          <w:rFonts w:asciiTheme="minorEastAsia" w:hAnsiTheme="minorEastAsia" w:eastAsiaTheme="minorEastAsia"/>
        </w:rPr>
      </w:pPr>
      <w:r>
        <w:rPr>
          <w:rFonts w:hint="eastAsia" w:cs="宋体" w:asciiTheme="minorEastAsia" w:hAnsiTheme="minorEastAsia" w:eastAsiaTheme="minorEastAsia"/>
        </w:rPr>
        <w:t>响应文件应当包括以下主要内容：资格文件、商务技术文件、报价文件。</w:t>
      </w:r>
    </w:p>
    <w:p>
      <w:pPr>
        <w:pStyle w:val="52"/>
        <w:numPr>
          <w:ilvl w:val="0"/>
          <w:numId w:val="8"/>
        </w:numPr>
        <w:spacing w:before="0" w:line="336" w:lineRule="auto"/>
        <w:ind w:firstLine="480"/>
        <w:rPr>
          <w:rFonts w:asciiTheme="minorEastAsia" w:hAnsiTheme="minorEastAsia" w:eastAsiaTheme="minorEastAsia"/>
        </w:rPr>
      </w:pPr>
      <w:r>
        <w:rPr>
          <w:rFonts w:hint="eastAsia" w:cs="宋体" w:asciiTheme="minorEastAsia" w:hAnsiTheme="minorEastAsia" w:eastAsiaTheme="minorEastAsia"/>
        </w:rPr>
        <w:t>资格文件包括以下内容：</w:t>
      </w:r>
    </w:p>
    <w:p>
      <w:pPr>
        <w:pStyle w:val="52"/>
        <w:numPr>
          <w:ilvl w:val="0"/>
          <w:numId w:val="9"/>
        </w:numPr>
        <w:spacing w:before="0"/>
        <w:ind w:firstLine="480"/>
        <w:rPr>
          <w:rFonts w:ascii="宋体" w:hAnsi="宋体" w:cs="宋体"/>
        </w:rPr>
      </w:pPr>
      <w:r>
        <w:rPr>
          <w:rFonts w:hint="eastAsia" w:ascii="宋体" w:hAnsi="宋体" w:cs="宋体"/>
        </w:rPr>
        <w:t>法定代表人授权书（格式见附件，</w:t>
      </w:r>
      <w:r>
        <w:rPr>
          <w:rFonts w:hint="eastAsia" w:ascii="宋体" w:hAnsi="宋体" w:cs="宋体"/>
          <w:b/>
          <w:bCs/>
        </w:rPr>
        <w:t>若联合体投标须提供联合体牵头人法定代表人授权书</w:t>
      </w:r>
      <w:r>
        <w:rPr>
          <w:rFonts w:hint="eastAsia" w:ascii="宋体" w:hAnsi="宋体" w:cs="宋体"/>
        </w:rPr>
        <w:t>）；如法定代表人直接参加询价并对相应文件签字的（签字是指线下签字扫描后上传或者线上进行电子签章），只需提供其身份证复印件，否则则应提供授权代表身份证复印件；</w:t>
      </w:r>
    </w:p>
    <w:p>
      <w:pPr>
        <w:pStyle w:val="52"/>
        <w:numPr>
          <w:ilvl w:val="0"/>
          <w:numId w:val="9"/>
        </w:numPr>
        <w:spacing w:before="0"/>
        <w:ind w:firstLine="480"/>
        <w:rPr>
          <w:rFonts w:ascii="宋体" w:hAnsi="宋体" w:cs="宋体"/>
        </w:rPr>
      </w:pPr>
      <w:r>
        <w:rPr>
          <w:rFonts w:hint="eastAsia" w:ascii="宋体" w:hAnsi="宋体" w:cs="宋体"/>
        </w:rPr>
        <w:t>营业执照</w:t>
      </w:r>
      <w:r>
        <w:rPr>
          <w:rFonts w:hint="eastAsia" w:ascii="宋体" w:hAnsi="宋体" w:cs="宋体"/>
          <w:b/>
          <w:bCs/>
        </w:rPr>
        <w:t>（若联合体投标须提供联合体牵头人及全体成员的营业执照）</w:t>
      </w:r>
      <w:r>
        <w:rPr>
          <w:rFonts w:hint="eastAsia" w:ascii="宋体" w:hAnsi="宋体" w:cs="宋体"/>
        </w:rPr>
        <w:t>(或事业法人登记证或其他工商等登记证明材料)复印件、税务登记证(或其它缴纳证明材料)复印件、社保登记证（或其它缴纳证明材料）复印件；实施“五证合一、一照一码”登记制度改革的，只需提供改革后取得的营业执照复印件；事业单位的，则提供有效的《事业单位法人证书》副本复印件并加盖单位公章；</w:t>
      </w:r>
    </w:p>
    <w:p>
      <w:pPr>
        <w:pStyle w:val="52"/>
        <w:spacing w:before="0"/>
        <w:ind w:firstLine="480"/>
        <w:rPr>
          <w:rFonts w:ascii="宋体" w:hAnsi="宋体" w:cs="宋体"/>
        </w:rPr>
      </w:pPr>
      <w:r>
        <w:rPr>
          <w:rFonts w:hint="eastAsia" w:ascii="宋体" w:hAnsi="宋体" w:cs="宋体"/>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询价响应文件中提供相关材料），证明其具备实际承担责任的能力和法定的缔结合同能力，可以独立参加国企采购活动，由单位负责人签署相关文件材料；</w:t>
      </w:r>
    </w:p>
    <w:p>
      <w:pPr>
        <w:pStyle w:val="52"/>
        <w:numPr>
          <w:ilvl w:val="0"/>
          <w:numId w:val="9"/>
        </w:numPr>
        <w:spacing w:before="0"/>
        <w:ind w:firstLine="480"/>
        <w:rPr>
          <w:rFonts w:ascii="宋体" w:hAnsi="宋体" w:cs="宋体"/>
        </w:rPr>
      </w:pPr>
      <w:r>
        <w:rPr>
          <w:rFonts w:hint="eastAsia" w:ascii="宋体" w:hAnsi="宋体" w:cs="宋体"/>
        </w:rPr>
        <w:t>具有履行合同所必需的产品和专业技术能力的承诺函</w:t>
      </w:r>
      <w:r>
        <w:rPr>
          <w:rFonts w:hint="eastAsia" w:ascii="宋体" w:hAnsi="宋体" w:cs="宋体"/>
          <w:b/>
          <w:bCs/>
        </w:rPr>
        <w:t>（若联合体投标须提供联合体牵头人及全体成员的承诺函）</w:t>
      </w:r>
      <w:r>
        <w:rPr>
          <w:rFonts w:hint="eastAsia" w:ascii="宋体" w:hAnsi="宋体" w:cs="宋体"/>
        </w:rPr>
        <w:t>；</w:t>
      </w:r>
    </w:p>
    <w:p>
      <w:pPr>
        <w:pStyle w:val="52"/>
        <w:numPr>
          <w:ilvl w:val="0"/>
          <w:numId w:val="9"/>
        </w:numPr>
        <w:spacing w:before="0"/>
        <w:ind w:firstLine="480"/>
        <w:rPr>
          <w:rFonts w:ascii="宋体" w:hAnsi="宋体" w:cs="宋体"/>
        </w:rPr>
      </w:pPr>
      <w:r>
        <w:rPr>
          <w:rFonts w:hint="eastAsia" w:ascii="宋体" w:hAnsi="宋体" w:cs="宋体"/>
        </w:rPr>
        <w:t>投标人承诺函（</w:t>
      </w:r>
      <w:r>
        <w:rPr>
          <w:rFonts w:hint="eastAsia" w:ascii="宋体" w:hAnsi="宋体" w:cs="宋体"/>
          <w:b/>
          <w:bCs/>
        </w:rPr>
        <w:t>若联合体投标须提供联合体牵头人及全体成员的承诺函）</w:t>
      </w:r>
      <w:r>
        <w:rPr>
          <w:rFonts w:hint="eastAsia" w:ascii="宋体" w:hAnsi="宋体" w:cs="宋体"/>
        </w:rPr>
        <w:t>。</w:t>
      </w:r>
    </w:p>
    <w:p>
      <w:pPr>
        <w:pStyle w:val="52"/>
        <w:numPr>
          <w:ilvl w:val="0"/>
          <w:numId w:val="9"/>
        </w:numPr>
        <w:spacing w:before="0"/>
        <w:ind w:firstLine="480"/>
        <w:rPr>
          <w:rFonts w:ascii="宋体" w:hAnsi="宋体" w:cs="宋体"/>
        </w:rPr>
      </w:pPr>
      <w:r>
        <w:rPr>
          <w:rFonts w:hint="eastAsia" w:ascii="宋体"/>
          <w:color w:val="auto"/>
          <w:highlight w:val="none"/>
        </w:rPr>
        <w:t>联合体协议</w:t>
      </w:r>
      <w:r>
        <w:rPr>
          <w:rFonts w:hint="eastAsia" w:ascii="宋体"/>
          <w:b/>
          <w:bCs/>
          <w:color w:val="auto"/>
          <w:highlight w:val="none"/>
        </w:rPr>
        <w:t>（若联合体投标须提供）</w:t>
      </w:r>
      <w:r>
        <w:rPr>
          <w:rFonts w:hint="eastAsia" w:ascii="宋体"/>
          <w:b/>
          <w:bCs/>
          <w:color w:val="auto"/>
          <w:highlight w:val="none"/>
          <w:lang w:eastAsia="zh-CN"/>
        </w:rPr>
        <w:t>。</w:t>
      </w:r>
    </w:p>
    <w:p>
      <w:pPr>
        <w:pStyle w:val="52"/>
        <w:spacing w:before="0"/>
        <w:ind w:firstLine="482"/>
        <w:rPr>
          <w:rFonts w:ascii="宋体" w:hAnsi="宋体" w:cs="宋体"/>
        </w:rPr>
      </w:pPr>
      <w:r>
        <w:rPr>
          <w:rFonts w:hint="eastAsia" w:ascii="宋体" w:hAnsi="宋体" w:cs="宋体"/>
          <w:b/>
          <w:bCs/>
        </w:rPr>
        <w:t>注：以上证明材料中，若联合体投标且要求提供“联合体牵头人及全体成员”相关资料的，则联合体牵头人及全体成员均须加盖公章（</w:t>
      </w:r>
      <w:r>
        <w:rPr>
          <w:rFonts w:ascii="宋体" w:hAnsi="宋体" w:cs="宋体"/>
          <w:b/>
          <w:bCs/>
        </w:rPr>
        <w:t>除联合体牵头人外其他全体成员</w:t>
      </w:r>
      <w:r>
        <w:rPr>
          <w:rFonts w:hint="eastAsia" w:ascii="宋体" w:hAnsi="宋体" w:cs="宋体"/>
          <w:b/>
          <w:bCs/>
        </w:rPr>
        <w:t>可</w:t>
      </w:r>
      <w:r>
        <w:rPr>
          <w:rFonts w:ascii="宋体" w:hAnsi="宋体" w:cs="宋体"/>
          <w:b/>
          <w:bCs/>
        </w:rPr>
        <w:t>线下</w:t>
      </w:r>
      <w:r>
        <w:rPr>
          <w:rFonts w:hint="eastAsia" w:ascii="宋体" w:hAnsi="宋体" w:cs="宋体"/>
          <w:b/>
          <w:bCs/>
        </w:rPr>
        <w:t>加盖</w:t>
      </w:r>
      <w:r>
        <w:rPr>
          <w:rFonts w:ascii="宋体" w:hAnsi="宋体" w:cs="宋体"/>
          <w:b/>
          <w:bCs/>
        </w:rPr>
        <w:t>公章后上传）</w:t>
      </w:r>
      <w:r>
        <w:rPr>
          <w:rFonts w:hint="eastAsia" w:ascii="宋体" w:hAnsi="宋体" w:cs="宋体"/>
          <w:b/>
          <w:bCs/>
        </w:rPr>
        <w:t>，否则按无效标处理。</w:t>
      </w:r>
    </w:p>
    <w:p>
      <w:pPr>
        <w:pStyle w:val="52"/>
        <w:numPr>
          <w:ilvl w:val="0"/>
          <w:numId w:val="8"/>
        </w:numPr>
        <w:spacing w:before="0" w:line="336" w:lineRule="auto"/>
        <w:ind w:firstLine="480"/>
        <w:rPr>
          <w:rFonts w:asciiTheme="minorEastAsia" w:hAnsiTheme="minorEastAsia" w:eastAsiaTheme="minorEastAsia"/>
        </w:rPr>
      </w:pPr>
      <w:r>
        <w:rPr>
          <w:rFonts w:hint="eastAsia" w:cs="宋体" w:asciiTheme="minorEastAsia" w:hAnsiTheme="minorEastAsia" w:eastAsiaTheme="minorEastAsia"/>
        </w:rPr>
        <w:t>商务技术文件，需要供应商提供以下项所列的技术文件：</w:t>
      </w:r>
    </w:p>
    <w:p>
      <w:pPr>
        <w:pStyle w:val="52"/>
        <w:numPr>
          <w:ilvl w:val="0"/>
          <w:numId w:val="10"/>
        </w:numPr>
        <w:spacing w:before="0" w:line="336" w:lineRule="auto"/>
        <w:ind w:firstLine="480"/>
        <w:rPr>
          <w:rFonts w:ascii="宋体" w:hAnsi="宋体" w:cs="宋体"/>
        </w:rPr>
      </w:pPr>
      <w:r>
        <w:rPr>
          <w:rFonts w:hint="eastAsia" w:ascii="宋体" w:hAnsi="宋体" w:cs="宋体"/>
        </w:rPr>
        <w:t>技术响应及建议表（格式见附件）；</w:t>
      </w:r>
    </w:p>
    <w:p>
      <w:pPr>
        <w:pStyle w:val="52"/>
        <w:numPr>
          <w:ilvl w:val="0"/>
          <w:numId w:val="10"/>
        </w:numPr>
        <w:spacing w:before="0" w:line="336" w:lineRule="auto"/>
        <w:ind w:firstLine="480"/>
        <w:rPr>
          <w:rFonts w:ascii="宋体" w:hAnsi="宋体" w:cs="宋体"/>
        </w:rPr>
      </w:pPr>
      <w:r>
        <w:rPr>
          <w:rFonts w:hint="eastAsia" w:ascii="宋体" w:hAnsi="宋体" w:cs="宋体"/>
        </w:rPr>
        <w:t>废标项证明材料（即“★”的证明材料）；</w:t>
      </w:r>
    </w:p>
    <w:p>
      <w:pPr>
        <w:pStyle w:val="52"/>
        <w:numPr>
          <w:ilvl w:val="0"/>
          <w:numId w:val="10"/>
        </w:numPr>
        <w:spacing w:before="0" w:line="336" w:lineRule="auto"/>
        <w:ind w:firstLine="480"/>
        <w:rPr>
          <w:rFonts w:ascii="宋体" w:hAnsi="宋体" w:cs="宋体"/>
        </w:rPr>
      </w:pPr>
      <w:r>
        <w:rPr>
          <w:rFonts w:hint="eastAsia" w:ascii="宋体" w:hAnsi="宋体" w:cs="宋体"/>
        </w:rPr>
        <w:t xml:space="preserve">供应商认为需要的其他文件资料。 </w:t>
      </w:r>
    </w:p>
    <w:p>
      <w:pPr>
        <w:pStyle w:val="52"/>
        <w:tabs>
          <w:tab w:val="left" w:pos="0"/>
        </w:tabs>
        <w:spacing w:before="0"/>
        <w:ind w:firstLine="482"/>
        <w:rPr>
          <w:rFonts w:asciiTheme="minorEastAsia" w:hAnsiTheme="minorEastAsia" w:eastAsiaTheme="minorEastAsia"/>
        </w:rPr>
      </w:pPr>
      <w:r>
        <w:rPr>
          <w:rFonts w:hint="eastAsia" w:ascii="宋体" w:hAnsi="宋体" w:cs="宋体"/>
          <w:b/>
        </w:rPr>
        <w:t>注：以上内容应与评标办法中内容具有一致性。</w:t>
      </w:r>
      <w:r>
        <w:rPr>
          <w:rFonts w:hint="eastAsia" w:ascii="宋体" w:hAnsi="宋体" w:cs="宋体"/>
          <w:b/>
          <w:bCs/>
        </w:rPr>
        <w:t>若联合体投标的，商务技术文件由联合体牵头人在规定位置盖章，投标人全称</w:t>
      </w:r>
      <w:r>
        <w:rPr>
          <w:rFonts w:ascii="宋体" w:hAnsi="宋体" w:cs="宋体"/>
          <w:b/>
          <w:bCs/>
        </w:rPr>
        <w:t>均</w:t>
      </w:r>
      <w:r>
        <w:rPr>
          <w:rFonts w:hint="eastAsia" w:ascii="宋体" w:hAnsi="宋体" w:cs="宋体"/>
          <w:b/>
          <w:bCs/>
        </w:rPr>
        <w:t>填写</w:t>
      </w:r>
      <w:r>
        <w:rPr>
          <w:rFonts w:ascii="宋体" w:hAnsi="宋体" w:cs="宋体"/>
          <w:b/>
          <w:bCs/>
        </w:rPr>
        <w:t>联合体牵头人全称，</w:t>
      </w:r>
      <w:r>
        <w:rPr>
          <w:rFonts w:hint="eastAsia" w:ascii="宋体" w:hAnsi="宋体" w:cs="宋体"/>
          <w:b/>
          <w:bCs/>
        </w:rPr>
        <w:t>由联合体牵头人的法定代表人或其授权代表在规定位置签字或盖章。</w:t>
      </w:r>
    </w:p>
    <w:p>
      <w:pPr>
        <w:pStyle w:val="52"/>
        <w:numPr>
          <w:ilvl w:val="0"/>
          <w:numId w:val="8"/>
        </w:numPr>
        <w:spacing w:before="0" w:line="336" w:lineRule="auto"/>
        <w:ind w:firstLine="480"/>
        <w:rPr>
          <w:rFonts w:asciiTheme="minorEastAsia" w:hAnsiTheme="minorEastAsia" w:eastAsiaTheme="minorEastAsia"/>
        </w:rPr>
      </w:pPr>
      <w:r>
        <w:rPr>
          <w:rFonts w:hint="eastAsia" w:cs="宋体" w:asciiTheme="minorEastAsia" w:hAnsiTheme="minorEastAsia" w:eastAsiaTheme="minorEastAsia"/>
        </w:rPr>
        <w:t>报价文件包括以下内容：</w:t>
      </w:r>
    </w:p>
    <w:p>
      <w:pPr>
        <w:pStyle w:val="52"/>
        <w:numPr>
          <w:ilvl w:val="0"/>
          <w:numId w:val="11"/>
        </w:numPr>
        <w:spacing w:before="0" w:line="336" w:lineRule="auto"/>
        <w:ind w:firstLine="480"/>
        <w:rPr>
          <w:rFonts w:asciiTheme="minorEastAsia" w:hAnsiTheme="minorEastAsia" w:eastAsiaTheme="minorEastAsia"/>
        </w:rPr>
      </w:pPr>
      <w:r>
        <w:rPr>
          <w:rFonts w:hint="eastAsia" w:cs="宋体" w:asciiTheme="minorEastAsia" w:hAnsiTheme="minorEastAsia" w:eastAsiaTheme="minorEastAsia"/>
        </w:rPr>
        <w:t>报价函（格式见附件）；</w:t>
      </w:r>
    </w:p>
    <w:p>
      <w:pPr>
        <w:pStyle w:val="52"/>
        <w:numPr>
          <w:ilvl w:val="0"/>
          <w:numId w:val="11"/>
        </w:numPr>
        <w:spacing w:before="0" w:line="336" w:lineRule="auto"/>
        <w:ind w:firstLine="480"/>
        <w:rPr>
          <w:rFonts w:asciiTheme="minorEastAsia" w:hAnsiTheme="minorEastAsia" w:eastAsiaTheme="minorEastAsia"/>
        </w:rPr>
      </w:pPr>
      <w:r>
        <w:rPr>
          <w:rFonts w:hint="eastAsia" w:cs="宋体" w:asciiTheme="minorEastAsia" w:hAnsiTheme="minorEastAsia" w:eastAsiaTheme="minorEastAsia"/>
        </w:rPr>
        <w:t>报价一览表（格式见附件）；</w:t>
      </w:r>
    </w:p>
    <w:p>
      <w:pPr>
        <w:pStyle w:val="52"/>
        <w:numPr>
          <w:ilvl w:val="0"/>
          <w:numId w:val="11"/>
        </w:numPr>
        <w:spacing w:before="0" w:line="336" w:lineRule="auto"/>
        <w:ind w:firstLine="480"/>
        <w:rPr>
          <w:rFonts w:asciiTheme="minorEastAsia" w:hAnsiTheme="minorEastAsia" w:eastAsiaTheme="minorEastAsia"/>
        </w:rPr>
      </w:pPr>
      <w:r>
        <w:rPr>
          <w:rFonts w:hint="eastAsia" w:cs="宋体" w:asciiTheme="minorEastAsia" w:hAnsiTheme="minorEastAsia" w:eastAsiaTheme="minorEastAsia"/>
        </w:rPr>
        <w:t>报价明细表（格式见附件）；</w:t>
      </w:r>
    </w:p>
    <w:p>
      <w:pPr>
        <w:pStyle w:val="52"/>
        <w:spacing w:before="0" w:line="336" w:lineRule="auto"/>
        <w:ind w:firstLine="482"/>
        <w:rPr>
          <w:rFonts w:asciiTheme="minorEastAsia" w:hAnsiTheme="minorEastAsia" w:eastAsiaTheme="minorEastAsia"/>
        </w:rPr>
      </w:pPr>
      <w:r>
        <w:rPr>
          <w:rFonts w:hint="eastAsia" w:ascii="宋体" w:hAnsi="宋体" w:cs="宋体"/>
          <w:b/>
          <w:bCs/>
        </w:rPr>
        <w:t>注：若联合体投标的，报价文件由联合体牵头人在规定位置盖章，投标人全称</w:t>
      </w:r>
      <w:r>
        <w:rPr>
          <w:rFonts w:ascii="宋体" w:hAnsi="宋体" w:cs="宋体"/>
          <w:b/>
          <w:bCs/>
        </w:rPr>
        <w:t>均</w:t>
      </w:r>
      <w:r>
        <w:rPr>
          <w:rFonts w:hint="eastAsia" w:ascii="宋体" w:hAnsi="宋体" w:cs="宋体"/>
          <w:b/>
          <w:bCs/>
        </w:rPr>
        <w:t>填写</w:t>
      </w:r>
      <w:r>
        <w:rPr>
          <w:rFonts w:ascii="宋体" w:hAnsi="宋体" w:cs="宋体"/>
          <w:b/>
          <w:bCs/>
        </w:rPr>
        <w:t>联合体牵头人全称，</w:t>
      </w:r>
      <w:r>
        <w:rPr>
          <w:rFonts w:hint="eastAsia" w:ascii="宋体" w:hAnsi="宋体" w:cs="宋体"/>
          <w:b/>
          <w:bCs/>
        </w:rPr>
        <w:t>由联合体牵头人的法定代表人或其授权代表在规定位置签字或盖章。</w:t>
      </w:r>
    </w:p>
    <w:p>
      <w:pPr>
        <w:pStyle w:val="52"/>
        <w:spacing w:before="0" w:line="336" w:lineRule="auto"/>
        <w:ind w:firstLine="482"/>
        <w:rPr>
          <w:rFonts w:asciiTheme="minorEastAsia" w:hAnsiTheme="minorEastAsia" w:eastAsiaTheme="minorEastAsia"/>
          <w:b/>
          <w:bCs/>
          <w:u w:val="single"/>
        </w:rPr>
      </w:pPr>
      <w:r>
        <w:rPr>
          <w:rFonts w:hint="eastAsia" w:cs="宋体" w:asciiTheme="minorEastAsia" w:hAnsiTheme="minorEastAsia" w:eastAsiaTheme="minorEastAsia"/>
          <w:b/>
          <w:bCs/>
          <w:u w:val="single"/>
        </w:rPr>
        <w:t>注：“资格文件”、“商务技术文件”、“报价文件”须分</w:t>
      </w:r>
      <w:r>
        <w:rPr>
          <w:rFonts w:cs="宋体" w:asciiTheme="minorEastAsia" w:hAnsiTheme="minorEastAsia" w:eastAsiaTheme="minorEastAsia"/>
          <w:b/>
          <w:bCs/>
          <w:u w:val="single"/>
        </w:rPr>
        <w:t>3</w:t>
      </w:r>
      <w:r>
        <w:rPr>
          <w:rFonts w:hint="eastAsia" w:cs="宋体" w:asciiTheme="minorEastAsia" w:hAnsiTheme="minorEastAsia" w:eastAsiaTheme="minorEastAsia"/>
          <w:b/>
          <w:bCs/>
          <w:u w:val="single"/>
        </w:rPr>
        <w:t>个</w:t>
      </w:r>
      <w:r>
        <w:rPr>
          <w:rFonts w:cs="宋体" w:asciiTheme="minorEastAsia" w:hAnsiTheme="minorEastAsia" w:eastAsiaTheme="minorEastAsia"/>
          <w:b/>
          <w:bCs/>
          <w:u w:val="single"/>
        </w:rPr>
        <w:t>PDF</w:t>
      </w:r>
      <w:r>
        <w:rPr>
          <w:rFonts w:hint="eastAsia" w:cs="宋体" w:asciiTheme="minorEastAsia" w:hAnsiTheme="minorEastAsia" w:eastAsiaTheme="minorEastAsia"/>
          <w:b/>
          <w:bCs/>
          <w:u w:val="single"/>
        </w:rPr>
        <w:t>格式分别导入。</w:t>
      </w:r>
    </w:p>
    <w:p>
      <w:pPr>
        <w:pStyle w:val="52"/>
        <w:spacing w:before="0" w:line="336" w:lineRule="auto"/>
        <w:ind w:left="400" w:leftChars="200" w:firstLine="0" w:firstLineChars="0"/>
        <w:rPr>
          <w:rFonts w:asciiTheme="minorEastAsia" w:hAnsiTheme="minorEastAsia" w:eastAsiaTheme="minorEastAsia"/>
          <w:b/>
          <w:bCs/>
        </w:rPr>
      </w:pPr>
      <w:r>
        <w:rPr>
          <w:rFonts w:cs="宋体" w:asciiTheme="minorEastAsia" w:hAnsiTheme="minorEastAsia" w:eastAsiaTheme="minorEastAsia"/>
          <w:b/>
          <w:bCs/>
        </w:rPr>
        <w:t>10</w:t>
      </w:r>
      <w:r>
        <w:rPr>
          <w:rFonts w:hint="eastAsia" w:cs="宋体" w:asciiTheme="minorEastAsia" w:hAnsiTheme="minorEastAsia" w:eastAsiaTheme="minorEastAsia"/>
          <w:b/>
          <w:bCs/>
        </w:rPr>
        <w:t>．响应文件有效期</w:t>
      </w:r>
    </w:p>
    <w:p>
      <w:pPr>
        <w:pStyle w:val="52"/>
        <w:spacing w:before="0" w:line="336" w:lineRule="auto"/>
        <w:ind w:firstLine="480"/>
        <w:rPr>
          <w:rFonts w:asciiTheme="minorEastAsia" w:hAnsiTheme="minorEastAsia" w:eastAsiaTheme="minorEastAsia"/>
        </w:rPr>
      </w:pPr>
      <w:r>
        <w:rPr>
          <w:rFonts w:cs="宋体" w:asciiTheme="minorEastAsia" w:hAnsiTheme="minorEastAsia" w:eastAsiaTheme="minorEastAsia"/>
        </w:rPr>
        <w:t xml:space="preserve">10.1 </w:t>
      </w:r>
      <w:r>
        <w:rPr>
          <w:rFonts w:hint="eastAsia" w:cs="宋体" w:asciiTheme="minorEastAsia" w:hAnsiTheme="minorEastAsia" w:eastAsiaTheme="minorEastAsia"/>
        </w:rPr>
        <w:t>响应文件未在询价响应截止时间前完成传输的或者未按时解密的，视为放弃；响应文件解密失败后未提供备份文件或者备份文件也出现异常情况的，亦视为放弃。</w:t>
      </w:r>
    </w:p>
    <w:p>
      <w:pPr>
        <w:pStyle w:val="52"/>
        <w:spacing w:before="0" w:line="336" w:lineRule="auto"/>
        <w:ind w:firstLine="480"/>
        <w:rPr>
          <w:rFonts w:asciiTheme="minorEastAsia" w:hAnsiTheme="minorEastAsia" w:eastAsiaTheme="minorEastAsia"/>
        </w:rPr>
      </w:pPr>
      <w:r>
        <w:rPr>
          <w:rFonts w:cs="宋体" w:asciiTheme="minorEastAsia" w:hAnsiTheme="minorEastAsia" w:eastAsiaTheme="minorEastAsia"/>
        </w:rPr>
        <w:t xml:space="preserve">10.2 </w:t>
      </w:r>
      <w:r>
        <w:rPr>
          <w:rFonts w:hint="eastAsia" w:cs="宋体" w:asciiTheme="minorEastAsia" w:hAnsiTheme="minorEastAsia" w:eastAsiaTheme="minorEastAsia"/>
        </w:rPr>
        <w:t>响应文件上传后，自询价响应截止日期起，在前附表所列的询价响应文件有效期内有效。</w:t>
      </w:r>
    </w:p>
    <w:p>
      <w:pPr>
        <w:pStyle w:val="52"/>
        <w:spacing w:before="0" w:line="336" w:lineRule="auto"/>
        <w:ind w:firstLine="480"/>
        <w:rPr>
          <w:rFonts w:asciiTheme="minorEastAsia" w:hAnsiTheme="minorEastAsia" w:eastAsiaTheme="minorEastAsia"/>
        </w:rPr>
      </w:pPr>
      <w:r>
        <w:rPr>
          <w:rFonts w:cs="宋体" w:asciiTheme="minorEastAsia" w:hAnsiTheme="minorEastAsia" w:eastAsiaTheme="minorEastAsia"/>
        </w:rPr>
        <w:t xml:space="preserve">10.3 </w:t>
      </w:r>
      <w:r>
        <w:rPr>
          <w:rFonts w:hint="eastAsia" w:cs="宋体" w:asciiTheme="minorEastAsia" w:hAnsiTheme="minorEastAsia" w:eastAsiaTheme="minorEastAsia"/>
        </w:rPr>
        <w:t>在原定有效期满之前，如果出现特殊情况，采购代理机构可以以书面形式向询价供应商提出延长询价有效期的要求，询价供应商对此须以书面形式予以答复。</w:t>
      </w:r>
    </w:p>
    <w:p>
      <w:pPr>
        <w:pStyle w:val="52"/>
        <w:spacing w:before="0" w:line="336" w:lineRule="auto"/>
        <w:ind w:left="400" w:leftChars="200" w:firstLine="0" w:firstLineChars="0"/>
        <w:rPr>
          <w:rFonts w:cs="宋体" w:asciiTheme="minorEastAsia" w:hAnsiTheme="minorEastAsia" w:eastAsiaTheme="minorEastAsia"/>
          <w:b/>
          <w:bCs/>
        </w:rPr>
      </w:pPr>
    </w:p>
    <w:p>
      <w:pPr>
        <w:pStyle w:val="52"/>
        <w:spacing w:before="0" w:line="336" w:lineRule="auto"/>
        <w:ind w:left="400" w:leftChars="200" w:firstLine="0" w:firstLineChars="0"/>
        <w:rPr>
          <w:rFonts w:asciiTheme="minorEastAsia" w:hAnsiTheme="minorEastAsia" w:eastAsiaTheme="minorEastAsia"/>
          <w:b/>
          <w:bCs/>
        </w:rPr>
      </w:pPr>
      <w:r>
        <w:rPr>
          <w:rFonts w:cs="宋体" w:asciiTheme="minorEastAsia" w:hAnsiTheme="minorEastAsia" w:eastAsiaTheme="minorEastAsia"/>
          <w:b/>
          <w:bCs/>
        </w:rPr>
        <w:t>11</w:t>
      </w:r>
      <w:r>
        <w:rPr>
          <w:rFonts w:hint="eastAsia" w:cs="宋体" w:asciiTheme="minorEastAsia" w:hAnsiTheme="minorEastAsia" w:eastAsiaTheme="minorEastAsia"/>
          <w:b/>
          <w:bCs/>
        </w:rPr>
        <w:t>．供应商如有下列情况之一者列入不良行为记录：</w:t>
      </w:r>
    </w:p>
    <w:p>
      <w:pPr>
        <w:adjustRightInd w:val="0"/>
        <w:spacing w:line="360" w:lineRule="auto"/>
        <w:ind w:left="400" w:leftChars="200"/>
        <w:rPr>
          <w:rFonts w:asciiTheme="minorEastAsia" w:hAnsiTheme="minorEastAsia" w:eastAsiaTheme="minorEastAsia"/>
          <w:kern w:val="2"/>
          <w:sz w:val="24"/>
          <w:szCs w:val="24"/>
        </w:rPr>
      </w:pPr>
      <w:r>
        <w:rPr>
          <w:rFonts w:cs="宋体" w:asciiTheme="minorEastAsia" w:hAnsiTheme="minorEastAsia" w:eastAsiaTheme="minorEastAsia"/>
          <w:kern w:val="2"/>
          <w:sz w:val="24"/>
          <w:szCs w:val="24"/>
        </w:rPr>
        <w:t xml:space="preserve">11.1 </w:t>
      </w:r>
      <w:r>
        <w:rPr>
          <w:rFonts w:hint="eastAsia" w:cs="宋体" w:asciiTheme="minorEastAsia" w:hAnsiTheme="minorEastAsia" w:eastAsiaTheme="minorEastAsia"/>
          <w:kern w:val="2"/>
          <w:sz w:val="24"/>
          <w:szCs w:val="24"/>
        </w:rPr>
        <w:t>供应商在询价响应文件有效期内撤回投标的；</w:t>
      </w:r>
    </w:p>
    <w:p>
      <w:pPr>
        <w:adjustRightInd w:val="0"/>
        <w:spacing w:line="360" w:lineRule="auto"/>
        <w:ind w:left="400" w:leftChars="200"/>
        <w:rPr>
          <w:rFonts w:asciiTheme="minorEastAsia" w:hAnsiTheme="minorEastAsia" w:eastAsiaTheme="minorEastAsia"/>
          <w:kern w:val="2"/>
          <w:sz w:val="24"/>
          <w:szCs w:val="24"/>
        </w:rPr>
      </w:pPr>
      <w:r>
        <w:rPr>
          <w:rFonts w:cs="宋体" w:asciiTheme="minorEastAsia" w:hAnsiTheme="minorEastAsia" w:eastAsiaTheme="minorEastAsia"/>
          <w:kern w:val="2"/>
          <w:sz w:val="24"/>
          <w:szCs w:val="24"/>
        </w:rPr>
        <w:t xml:space="preserve">11.2 </w:t>
      </w:r>
      <w:r>
        <w:rPr>
          <w:rFonts w:hint="eastAsia" w:cs="宋体" w:asciiTheme="minorEastAsia" w:hAnsiTheme="minorEastAsia" w:eastAsiaTheme="minorEastAsia"/>
          <w:kern w:val="2"/>
          <w:sz w:val="24"/>
          <w:szCs w:val="24"/>
        </w:rPr>
        <w:t>供应商或中标候选人放弃中标或中标候选人资格的；</w:t>
      </w:r>
    </w:p>
    <w:p>
      <w:pPr>
        <w:adjustRightInd w:val="0"/>
        <w:spacing w:line="360" w:lineRule="auto"/>
        <w:ind w:left="400" w:leftChars="200"/>
        <w:rPr>
          <w:rFonts w:asciiTheme="minorEastAsia" w:hAnsiTheme="minorEastAsia" w:eastAsiaTheme="minorEastAsia"/>
          <w:kern w:val="2"/>
          <w:sz w:val="24"/>
          <w:szCs w:val="24"/>
        </w:rPr>
      </w:pPr>
      <w:r>
        <w:rPr>
          <w:rFonts w:cs="宋体" w:asciiTheme="minorEastAsia" w:hAnsiTheme="minorEastAsia" w:eastAsiaTheme="minorEastAsia"/>
          <w:kern w:val="2"/>
          <w:sz w:val="24"/>
          <w:szCs w:val="24"/>
        </w:rPr>
        <w:t xml:space="preserve">11.3 </w:t>
      </w:r>
      <w:r>
        <w:rPr>
          <w:rFonts w:hint="eastAsia" w:cs="宋体" w:asciiTheme="minorEastAsia" w:hAnsiTheme="minorEastAsia" w:eastAsiaTheme="minorEastAsia"/>
          <w:kern w:val="2"/>
          <w:sz w:val="24"/>
          <w:szCs w:val="24"/>
        </w:rPr>
        <w:t>擅自修改或拒绝接受已经确认的条款；</w:t>
      </w:r>
    </w:p>
    <w:p>
      <w:pPr>
        <w:adjustRightInd w:val="0"/>
        <w:spacing w:line="360" w:lineRule="auto"/>
        <w:ind w:left="400" w:leftChars="200"/>
        <w:rPr>
          <w:rFonts w:asciiTheme="minorEastAsia" w:hAnsiTheme="minorEastAsia" w:eastAsiaTheme="minorEastAsia"/>
          <w:kern w:val="2"/>
          <w:sz w:val="24"/>
          <w:szCs w:val="24"/>
        </w:rPr>
      </w:pPr>
      <w:r>
        <w:rPr>
          <w:rFonts w:cs="宋体" w:asciiTheme="minorEastAsia" w:hAnsiTheme="minorEastAsia" w:eastAsiaTheme="minorEastAsia"/>
          <w:kern w:val="2"/>
          <w:sz w:val="24"/>
          <w:szCs w:val="24"/>
        </w:rPr>
        <w:t xml:space="preserve">11.4 </w:t>
      </w:r>
      <w:r>
        <w:rPr>
          <w:rFonts w:hint="eastAsia" w:cs="宋体" w:asciiTheme="minorEastAsia" w:hAnsiTheme="minorEastAsia" w:eastAsiaTheme="minorEastAsia"/>
          <w:kern w:val="2"/>
          <w:sz w:val="24"/>
          <w:szCs w:val="24"/>
        </w:rPr>
        <w:t>成交供应商未按规定与采购人签订合同；</w:t>
      </w:r>
    </w:p>
    <w:p>
      <w:pPr>
        <w:adjustRightInd w:val="0"/>
        <w:spacing w:line="360" w:lineRule="auto"/>
        <w:ind w:left="400" w:leftChars="200"/>
        <w:rPr>
          <w:rFonts w:cs="宋体" w:asciiTheme="minorEastAsia" w:hAnsiTheme="minorEastAsia" w:eastAsiaTheme="minorEastAsia"/>
          <w:kern w:val="2"/>
          <w:sz w:val="24"/>
          <w:szCs w:val="24"/>
        </w:rPr>
      </w:pPr>
      <w:r>
        <w:rPr>
          <w:rFonts w:cs="宋体" w:asciiTheme="minorEastAsia" w:hAnsiTheme="minorEastAsia" w:eastAsiaTheme="minorEastAsia"/>
          <w:kern w:val="2"/>
          <w:sz w:val="24"/>
          <w:szCs w:val="24"/>
        </w:rPr>
        <w:t xml:space="preserve">11.5 </w:t>
      </w:r>
      <w:r>
        <w:rPr>
          <w:rFonts w:hint="eastAsia" w:cs="宋体" w:asciiTheme="minorEastAsia" w:hAnsiTheme="minorEastAsia" w:eastAsiaTheme="minorEastAsia"/>
          <w:kern w:val="2"/>
          <w:sz w:val="24"/>
          <w:szCs w:val="24"/>
        </w:rPr>
        <w:t>未按规定提供履约保证金；</w:t>
      </w:r>
    </w:p>
    <w:p>
      <w:pPr>
        <w:adjustRightInd w:val="0"/>
        <w:spacing w:line="360" w:lineRule="auto"/>
        <w:ind w:left="400" w:leftChars="200"/>
        <w:rPr>
          <w:rFonts w:cs="宋体" w:asciiTheme="minorEastAsia" w:hAnsiTheme="minorEastAsia" w:eastAsiaTheme="minorEastAsia"/>
          <w:kern w:val="2"/>
          <w:sz w:val="24"/>
          <w:szCs w:val="24"/>
        </w:rPr>
      </w:pPr>
      <w:r>
        <w:rPr>
          <w:rFonts w:cs="宋体" w:asciiTheme="minorEastAsia" w:hAnsiTheme="minorEastAsia" w:eastAsiaTheme="minorEastAsia"/>
          <w:kern w:val="2"/>
          <w:sz w:val="24"/>
          <w:szCs w:val="24"/>
        </w:rPr>
        <w:t xml:space="preserve">11.6 </w:t>
      </w:r>
      <w:r>
        <w:rPr>
          <w:rFonts w:hint="eastAsia" w:cs="宋体" w:asciiTheme="minorEastAsia" w:hAnsiTheme="minorEastAsia" w:eastAsiaTheme="minorEastAsia"/>
          <w:kern w:val="2"/>
          <w:sz w:val="24"/>
          <w:szCs w:val="24"/>
        </w:rPr>
        <w:t>供应商采取提供虚假资料等不正当手段的；</w:t>
      </w:r>
    </w:p>
    <w:p>
      <w:pPr>
        <w:adjustRightInd w:val="0"/>
        <w:spacing w:line="360" w:lineRule="auto"/>
        <w:ind w:left="400" w:leftChars="200"/>
        <w:rPr>
          <w:rFonts w:cs="宋体" w:asciiTheme="minorEastAsia" w:hAnsiTheme="minorEastAsia" w:eastAsiaTheme="minorEastAsia"/>
          <w:kern w:val="2"/>
          <w:sz w:val="24"/>
          <w:szCs w:val="24"/>
        </w:rPr>
      </w:pPr>
      <w:r>
        <w:rPr>
          <w:rFonts w:cs="宋体" w:asciiTheme="minorEastAsia" w:hAnsiTheme="minorEastAsia" w:eastAsiaTheme="minorEastAsia"/>
          <w:kern w:val="2"/>
          <w:sz w:val="24"/>
          <w:szCs w:val="24"/>
        </w:rPr>
        <w:t xml:space="preserve">11.7 </w:t>
      </w:r>
      <w:r>
        <w:rPr>
          <w:rFonts w:hint="eastAsia" w:cs="宋体" w:asciiTheme="minorEastAsia" w:hAnsiTheme="minorEastAsia" w:eastAsiaTheme="minorEastAsia"/>
          <w:kern w:val="2"/>
          <w:sz w:val="24"/>
          <w:szCs w:val="24"/>
        </w:rPr>
        <w:t>供应商在投标过程中串通投标的。</w:t>
      </w:r>
    </w:p>
    <w:p>
      <w:pPr>
        <w:pStyle w:val="52"/>
        <w:spacing w:before="0" w:line="336" w:lineRule="auto"/>
        <w:ind w:firstLine="482"/>
        <w:rPr>
          <w:rFonts w:asciiTheme="minorEastAsia" w:hAnsiTheme="minorEastAsia" w:eastAsiaTheme="minorEastAsia"/>
          <w:b/>
          <w:bCs/>
        </w:rPr>
      </w:pPr>
      <w:r>
        <w:rPr>
          <w:rFonts w:cs="宋体" w:asciiTheme="minorEastAsia" w:hAnsiTheme="minorEastAsia" w:eastAsiaTheme="minorEastAsia"/>
          <w:b/>
          <w:bCs/>
        </w:rPr>
        <w:t>12</w:t>
      </w:r>
      <w:r>
        <w:rPr>
          <w:rFonts w:hint="eastAsia" w:cs="宋体" w:asciiTheme="minorEastAsia" w:hAnsiTheme="minorEastAsia" w:eastAsiaTheme="minorEastAsia"/>
          <w:b/>
          <w:bCs/>
        </w:rPr>
        <w:t>．响应文件的编制和签署</w:t>
      </w:r>
    </w:p>
    <w:p>
      <w:pPr>
        <w:pStyle w:val="52"/>
        <w:spacing w:before="0" w:line="336" w:lineRule="auto"/>
        <w:ind w:firstLine="480"/>
        <w:rPr>
          <w:rFonts w:asciiTheme="minorEastAsia" w:hAnsiTheme="minorEastAsia" w:eastAsiaTheme="minorEastAsia"/>
        </w:rPr>
      </w:pPr>
      <w:r>
        <w:rPr>
          <w:rFonts w:cs="宋体" w:asciiTheme="minorEastAsia" w:hAnsiTheme="minorEastAsia" w:eastAsiaTheme="minorEastAsia"/>
        </w:rPr>
        <w:t xml:space="preserve">12.1 </w:t>
      </w:r>
      <w:r>
        <w:rPr>
          <w:rFonts w:hint="eastAsia" w:cs="宋体" w:asciiTheme="minorEastAsia" w:hAnsiTheme="minorEastAsia" w:eastAsiaTheme="minorEastAsia"/>
        </w:rPr>
        <w:t>按询价文件</w:t>
      </w:r>
      <w:r>
        <w:rPr>
          <w:rFonts w:cs="宋体" w:asciiTheme="minorEastAsia" w:hAnsiTheme="minorEastAsia" w:eastAsiaTheme="minorEastAsia"/>
        </w:rPr>
        <w:t>9.1</w:t>
      </w:r>
      <w:r>
        <w:rPr>
          <w:rFonts w:hint="eastAsia" w:cs="宋体" w:asciiTheme="minorEastAsia" w:hAnsiTheme="minorEastAsia" w:eastAsiaTheme="minorEastAsia"/>
        </w:rPr>
        <w:t>条、</w:t>
      </w:r>
      <w:r>
        <w:rPr>
          <w:rFonts w:cs="宋体" w:asciiTheme="minorEastAsia" w:hAnsiTheme="minorEastAsia" w:eastAsiaTheme="minorEastAsia"/>
        </w:rPr>
        <w:t>9.2</w:t>
      </w:r>
      <w:r>
        <w:rPr>
          <w:rFonts w:hint="eastAsia" w:cs="宋体" w:asciiTheme="minorEastAsia" w:hAnsiTheme="minorEastAsia" w:eastAsiaTheme="minorEastAsia"/>
        </w:rPr>
        <w:t>条、</w:t>
      </w:r>
      <w:r>
        <w:rPr>
          <w:rFonts w:cs="宋体" w:asciiTheme="minorEastAsia" w:hAnsiTheme="minorEastAsia" w:eastAsiaTheme="minorEastAsia"/>
        </w:rPr>
        <w:t>9.3</w:t>
      </w:r>
      <w:r>
        <w:rPr>
          <w:rFonts w:hint="eastAsia" w:cs="宋体" w:asciiTheme="minorEastAsia" w:hAnsiTheme="minorEastAsia" w:eastAsiaTheme="minorEastAsia"/>
        </w:rPr>
        <w:t>条要求提供的各种文件，响应文件分为资格文件、商务技术文件和报价文件三部分。</w:t>
      </w:r>
    </w:p>
    <w:p>
      <w:pPr>
        <w:pStyle w:val="52"/>
        <w:spacing w:before="0" w:line="336" w:lineRule="auto"/>
        <w:ind w:firstLine="480"/>
        <w:rPr>
          <w:rFonts w:asciiTheme="minorEastAsia" w:hAnsiTheme="minorEastAsia" w:eastAsiaTheme="minorEastAsia"/>
        </w:rPr>
      </w:pPr>
      <w:r>
        <w:rPr>
          <w:rFonts w:cs="宋体" w:asciiTheme="minorEastAsia" w:hAnsiTheme="minorEastAsia" w:eastAsiaTheme="minorEastAsia"/>
        </w:rPr>
        <w:t xml:space="preserve">12.2 </w:t>
      </w:r>
      <w:r>
        <w:rPr>
          <w:rFonts w:hint="eastAsia" w:cs="宋体" w:asciiTheme="minorEastAsia" w:hAnsiTheme="minorEastAsia" w:eastAsiaTheme="minorEastAsia"/>
        </w:rPr>
        <w:t>响应文件须按附件格式要求进行电子签章，供应商应写全称。（电子询价响应文件中所须加盖公章部分均应采用电子签章）</w:t>
      </w:r>
    </w:p>
    <w:p>
      <w:pPr>
        <w:pStyle w:val="52"/>
        <w:spacing w:before="0" w:line="336" w:lineRule="auto"/>
        <w:ind w:firstLine="480"/>
        <w:rPr>
          <w:rFonts w:asciiTheme="minorEastAsia" w:hAnsiTheme="minorEastAsia" w:eastAsiaTheme="minorEastAsia"/>
        </w:rPr>
      </w:pPr>
      <w:r>
        <w:rPr>
          <w:rFonts w:cs="宋体" w:asciiTheme="minorEastAsia" w:hAnsiTheme="minorEastAsia" w:eastAsiaTheme="minorEastAsia"/>
        </w:rPr>
        <w:t xml:space="preserve">12.3 </w:t>
      </w:r>
      <w:r>
        <w:rPr>
          <w:rFonts w:hint="eastAsia" w:cs="宋体" w:asciiTheme="minorEastAsia" w:hAnsiTheme="minorEastAsia" w:eastAsiaTheme="minorEastAsia"/>
        </w:rPr>
        <w:t>全套响应文件应无涂改和行间插字，除非这些删改是根据采购代理机构要求进行，或者是供应商造成的必须修改的错误。所修改处应由法定代表人或其授权代表签字盖章予以确认。</w:t>
      </w:r>
    </w:p>
    <w:p>
      <w:pPr>
        <w:pStyle w:val="52"/>
        <w:spacing w:before="0" w:line="336" w:lineRule="auto"/>
        <w:ind w:firstLine="480"/>
        <w:rPr>
          <w:rFonts w:asciiTheme="minorEastAsia" w:hAnsiTheme="minorEastAsia" w:eastAsiaTheme="minorEastAsia"/>
        </w:rPr>
      </w:pPr>
      <w:r>
        <w:rPr>
          <w:rFonts w:cs="宋体" w:asciiTheme="minorEastAsia" w:hAnsiTheme="minorEastAsia" w:eastAsiaTheme="minorEastAsia"/>
        </w:rPr>
        <w:t xml:space="preserve">12.4 </w:t>
      </w:r>
      <w:r>
        <w:rPr>
          <w:rFonts w:hint="eastAsia" w:cs="宋体" w:asciiTheme="minorEastAsia" w:hAnsiTheme="minorEastAsia" w:eastAsiaTheme="minorEastAsia"/>
        </w:rPr>
        <w:t>由于字迹模糊或表达不清引起的后果由供应商负责。</w:t>
      </w:r>
    </w:p>
    <w:p>
      <w:pPr>
        <w:pStyle w:val="52"/>
        <w:spacing w:before="0" w:line="336" w:lineRule="auto"/>
        <w:ind w:firstLine="482"/>
        <w:rPr>
          <w:rFonts w:asciiTheme="minorEastAsia" w:hAnsiTheme="minorEastAsia" w:eastAsiaTheme="minorEastAsia"/>
          <w:b/>
          <w:bCs/>
        </w:rPr>
      </w:pPr>
      <w:r>
        <w:rPr>
          <w:rFonts w:cs="宋体" w:asciiTheme="minorEastAsia" w:hAnsiTheme="minorEastAsia" w:eastAsiaTheme="minorEastAsia"/>
          <w:b/>
          <w:bCs/>
        </w:rPr>
        <w:t>13</w:t>
      </w:r>
      <w:r>
        <w:rPr>
          <w:rFonts w:hint="eastAsia" w:cs="宋体" w:asciiTheme="minorEastAsia" w:hAnsiTheme="minorEastAsia" w:eastAsiaTheme="minorEastAsia"/>
          <w:b/>
          <w:bCs/>
        </w:rPr>
        <w:t>．响应文件的形式</w:t>
      </w:r>
    </w:p>
    <w:p>
      <w:pPr>
        <w:pStyle w:val="52"/>
        <w:spacing w:before="0" w:line="336" w:lineRule="auto"/>
        <w:ind w:firstLine="480"/>
        <w:rPr>
          <w:rFonts w:asciiTheme="minorEastAsia" w:hAnsiTheme="minorEastAsia" w:eastAsiaTheme="minorEastAsia"/>
        </w:rPr>
      </w:pPr>
      <w:r>
        <w:rPr>
          <w:rFonts w:hint="eastAsia" w:cs="宋体" w:asciiTheme="minorEastAsia" w:hAnsiTheme="minorEastAsia" w:eastAsiaTheme="minorEastAsia"/>
        </w:rPr>
        <w:t>响应文件为电子询价响应文件，电子询价响应文件按“政采云供应商项目采购</w:t>
      </w:r>
      <w:r>
        <w:rPr>
          <w:rFonts w:cs="宋体" w:asciiTheme="minorEastAsia" w:hAnsiTheme="minorEastAsia" w:eastAsiaTheme="minorEastAsia"/>
        </w:rPr>
        <w:t>-</w:t>
      </w:r>
      <w:r>
        <w:rPr>
          <w:rFonts w:hint="eastAsia" w:cs="宋体" w:asciiTheme="minorEastAsia" w:hAnsiTheme="minorEastAsia" w:eastAsiaTheme="minorEastAsia"/>
        </w:rPr>
        <w:t>电子招投标操作指南”及本询价文件要求制作、加密传输。</w:t>
      </w:r>
    </w:p>
    <w:p>
      <w:pPr>
        <w:pStyle w:val="2"/>
        <w:numPr>
          <w:ilvl w:val="0"/>
          <w:numId w:val="7"/>
        </w:numPr>
        <w:jc w:val="center"/>
        <w:rPr>
          <w:rFonts w:cs="Times New Roman" w:asciiTheme="minorEastAsia" w:hAnsiTheme="minorEastAsia" w:eastAsiaTheme="minorEastAsia"/>
        </w:rPr>
      </w:pPr>
      <w:bookmarkStart w:id="55" w:name="_Toc1420"/>
      <w:bookmarkStart w:id="56" w:name="_Toc21266"/>
      <w:bookmarkStart w:id="57" w:name="_Toc110244150"/>
      <w:r>
        <w:rPr>
          <w:rFonts w:hint="eastAsia" w:asciiTheme="minorEastAsia" w:hAnsiTheme="minorEastAsia" w:eastAsiaTheme="minorEastAsia"/>
        </w:rPr>
        <w:t>响应文件的递交</w:t>
      </w:r>
      <w:bookmarkEnd w:id="55"/>
      <w:bookmarkEnd w:id="56"/>
      <w:bookmarkEnd w:id="57"/>
    </w:p>
    <w:p>
      <w:pPr>
        <w:pStyle w:val="15"/>
        <w:spacing w:line="336" w:lineRule="auto"/>
        <w:ind w:left="400" w:leftChars="200"/>
        <w:rPr>
          <w:rFonts w:cs="Times New Roman" w:asciiTheme="minorEastAsia" w:hAnsiTheme="minorEastAsia" w:eastAsiaTheme="minorEastAsia"/>
          <w:b/>
          <w:bCs/>
          <w:sz w:val="24"/>
          <w:szCs w:val="24"/>
        </w:rPr>
      </w:pPr>
      <w:r>
        <w:rPr>
          <w:rFonts w:asciiTheme="minorEastAsia" w:hAnsiTheme="minorEastAsia" w:eastAsiaTheme="minorEastAsia"/>
          <w:b/>
          <w:bCs/>
          <w:sz w:val="24"/>
          <w:szCs w:val="24"/>
        </w:rPr>
        <w:t>14.</w:t>
      </w:r>
      <w:r>
        <w:rPr>
          <w:rFonts w:hint="eastAsia" w:asciiTheme="minorEastAsia" w:hAnsiTheme="minorEastAsia" w:eastAsiaTheme="minorEastAsia"/>
          <w:b/>
          <w:bCs/>
          <w:sz w:val="24"/>
          <w:szCs w:val="24"/>
        </w:rPr>
        <w:t>询价响应截止期</w:t>
      </w:r>
    </w:p>
    <w:p>
      <w:pPr>
        <w:pStyle w:val="52"/>
        <w:numPr>
          <w:ilvl w:val="0"/>
          <w:numId w:val="12"/>
        </w:numPr>
        <w:spacing w:before="0" w:line="336" w:lineRule="auto"/>
        <w:ind w:firstLine="480"/>
        <w:rPr>
          <w:rFonts w:asciiTheme="minorEastAsia" w:hAnsiTheme="minorEastAsia" w:eastAsiaTheme="minorEastAsia"/>
        </w:rPr>
      </w:pPr>
      <w:r>
        <w:rPr>
          <w:rFonts w:hint="eastAsia" w:cs="宋体" w:asciiTheme="minorEastAsia" w:hAnsiTheme="minorEastAsia" w:eastAsiaTheme="minorEastAsia"/>
        </w:rPr>
        <w:t>响应文件必须在规定的询价响应截止时间前在政采云系统内完成传输，以纸质、电报、电话、传真形式的投标概不接受。为应对响应文件解密失败等异常情况，供应商可指派授权代表在询价响应截止时间之前到达开标地点提交备份文件。</w:t>
      </w:r>
    </w:p>
    <w:p>
      <w:pPr>
        <w:pStyle w:val="52"/>
        <w:numPr>
          <w:ilvl w:val="0"/>
          <w:numId w:val="12"/>
        </w:numPr>
        <w:spacing w:before="0" w:line="336" w:lineRule="auto"/>
        <w:ind w:firstLine="480"/>
        <w:rPr>
          <w:rFonts w:asciiTheme="minorEastAsia" w:hAnsiTheme="minorEastAsia" w:eastAsiaTheme="minorEastAsia"/>
        </w:rPr>
      </w:pPr>
      <w:r>
        <w:rPr>
          <w:rFonts w:hint="eastAsia" w:cs="宋体" w:asciiTheme="minorEastAsia" w:hAnsiTheme="minorEastAsia" w:eastAsiaTheme="minorEastAsia"/>
        </w:rPr>
        <w:t>采购人因故推迟询价响应截止时间，将以公告形式通知。在这种情况下，采购人和供应商的权利和义务将受到新的截止时间的约束。</w:t>
      </w:r>
    </w:p>
    <w:p>
      <w:pPr>
        <w:pStyle w:val="15"/>
        <w:spacing w:line="336" w:lineRule="auto"/>
        <w:ind w:left="400" w:leftChars="200"/>
        <w:rPr>
          <w:rFonts w:cs="Times New Roman" w:asciiTheme="minorEastAsia" w:hAnsiTheme="minorEastAsia" w:eastAsiaTheme="minorEastAsia"/>
          <w:b/>
          <w:bCs/>
          <w:sz w:val="24"/>
          <w:szCs w:val="24"/>
        </w:rPr>
      </w:pPr>
      <w:r>
        <w:rPr>
          <w:rFonts w:asciiTheme="minorEastAsia" w:hAnsiTheme="minorEastAsia" w:eastAsiaTheme="minorEastAsia"/>
          <w:b/>
          <w:bCs/>
          <w:sz w:val="24"/>
          <w:szCs w:val="24"/>
        </w:rPr>
        <w:t>15.</w:t>
      </w:r>
      <w:r>
        <w:rPr>
          <w:rFonts w:hint="eastAsia" w:asciiTheme="minorEastAsia" w:hAnsiTheme="minorEastAsia" w:eastAsiaTheme="minorEastAsia"/>
          <w:b/>
          <w:bCs/>
          <w:sz w:val="24"/>
          <w:szCs w:val="24"/>
        </w:rPr>
        <w:t>响应文件的修改、撤销</w:t>
      </w:r>
    </w:p>
    <w:p>
      <w:pPr>
        <w:pStyle w:val="15"/>
        <w:spacing w:line="336" w:lineRule="auto"/>
        <w:ind w:firstLine="480" w:firstLineChars="200"/>
        <w:rPr>
          <w:rFonts w:cs="Times New Roman" w:asciiTheme="minorEastAsia" w:hAnsiTheme="minorEastAsia" w:eastAsiaTheme="minorEastAsia"/>
          <w:sz w:val="24"/>
          <w:szCs w:val="24"/>
        </w:rPr>
      </w:pPr>
      <w:r>
        <w:rPr>
          <w:rFonts w:hint="eastAsia" w:asciiTheme="minorEastAsia" w:hAnsiTheme="minorEastAsia" w:eastAsiaTheme="minorEastAsia"/>
          <w:sz w:val="24"/>
          <w:szCs w:val="24"/>
        </w:rPr>
        <w:t>供应商应当在询价响应截止时间前完成电子交易文件的传输递交，询价响应截止时间前可以补充、修改或者撤回电子交易文件。补充或者修改电子交易文件的，应当先行撤回原文件，补充、修改后重新传输递交。询价响应截止时间前未完成传输的，视为响应文件撤回。</w:t>
      </w:r>
    </w:p>
    <w:p>
      <w:pPr>
        <w:pStyle w:val="2"/>
        <w:numPr>
          <w:ilvl w:val="0"/>
          <w:numId w:val="7"/>
        </w:numPr>
        <w:jc w:val="center"/>
        <w:rPr>
          <w:rFonts w:cs="Times New Roman" w:asciiTheme="minorEastAsia" w:hAnsiTheme="minorEastAsia" w:eastAsiaTheme="minorEastAsia"/>
        </w:rPr>
      </w:pPr>
      <w:bookmarkStart w:id="58" w:name="_Toc24120"/>
      <w:bookmarkStart w:id="59" w:name="_Toc110244151"/>
      <w:r>
        <w:rPr>
          <w:rFonts w:hint="eastAsia" w:asciiTheme="minorEastAsia" w:hAnsiTheme="minorEastAsia" w:eastAsiaTheme="minorEastAsia"/>
        </w:rPr>
        <w:t>询价无效的情形</w:t>
      </w:r>
      <w:bookmarkEnd w:id="58"/>
      <w:bookmarkEnd w:id="59"/>
    </w:p>
    <w:p>
      <w:pPr>
        <w:pStyle w:val="15"/>
        <w:snapToGrid w:val="0"/>
        <w:spacing w:line="336" w:lineRule="auto"/>
        <w:ind w:firstLine="482" w:firstLineChars="200"/>
        <w:rPr>
          <w:rFonts w:cs="Times New Roman" w:asciiTheme="minorEastAsia" w:hAnsiTheme="minorEastAsia" w:eastAsiaTheme="minorEastAsia"/>
          <w:b/>
          <w:bCs/>
          <w:sz w:val="24"/>
          <w:szCs w:val="24"/>
        </w:rPr>
      </w:pPr>
      <w:r>
        <w:rPr>
          <w:rFonts w:asciiTheme="minorEastAsia" w:hAnsiTheme="minorEastAsia" w:eastAsiaTheme="minorEastAsia"/>
          <w:b/>
          <w:bCs/>
          <w:sz w:val="24"/>
          <w:szCs w:val="24"/>
        </w:rPr>
        <w:t>16.</w:t>
      </w:r>
      <w:r>
        <w:rPr>
          <w:rFonts w:hint="eastAsia" w:asciiTheme="minorEastAsia" w:hAnsiTheme="minorEastAsia" w:eastAsiaTheme="minorEastAsia"/>
          <w:b/>
          <w:bCs/>
          <w:sz w:val="24"/>
          <w:szCs w:val="24"/>
        </w:rPr>
        <w:t>无效响应</w:t>
      </w:r>
    </w:p>
    <w:p>
      <w:pPr>
        <w:pStyle w:val="15"/>
        <w:snapToGrid w:val="0"/>
        <w:spacing w:line="336" w:lineRule="auto"/>
        <w:ind w:firstLine="480" w:firstLineChars="200"/>
        <w:rPr>
          <w:rFonts w:cs="Times New Roman" w:asciiTheme="minorEastAsia" w:hAnsiTheme="minorEastAsia" w:eastAsiaTheme="minorEastAsia"/>
          <w:sz w:val="24"/>
          <w:szCs w:val="24"/>
        </w:rPr>
      </w:pPr>
      <w:r>
        <w:rPr>
          <w:rFonts w:hint="eastAsia" w:asciiTheme="minorEastAsia" w:hAnsiTheme="minorEastAsia" w:eastAsiaTheme="minorEastAsia"/>
          <w:sz w:val="24"/>
          <w:szCs w:val="24"/>
        </w:rPr>
        <w:t>经过审查，凡不符合有关规定，不响应询价文件的实质性条款，存在以下重大偏离之一的，经询价小组认定，并由采购人报采购办、监督办备案，将因未通过资格性或符合性审查而被作为无效响应处理：</w:t>
      </w:r>
    </w:p>
    <w:p>
      <w:pPr>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16.1</w:t>
      </w:r>
      <w:r>
        <w:rPr>
          <w:rFonts w:hint="eastAsia" w:cs="宋体" w:asciiTheme="minorEastAsia" w:hAnsiTheme="minorEastAsia" w:eastAsiaTheme="minorEastAsia"/>
          <w:b/>
          <w:bCs/>
          <w:sz w:val="24"/>
          <w:szCs w:val="24"/>
        </w:rPr>
        <w:t>未按照询价文件规定要求签署、盖章的；</w:t>
      </w:r>
    </w:p>
    <w:p>
      <w:pPr>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16.2</w:t>
      </w:r>
      <w:r>
        <w:rPr>
          <w:rFonts w:hint="eastAsia" w:cs="宋体" w:asciiTheme="minorEastAsia" w:hAnsiTheme="minorEastAsia" w:eastAsiaTheme="minorEastAsia"/>
          <w:b/>
          <w:bCs/>
          <w:sz w:val="24"/>
          <w:szCs w:val="24"/>
        </w:rPr>
        <w:t>《法定代表人授权书》填写不全、错误、未加盖供应商公章（公章和签字或盖章缺一不可）；</w:t>
      </w:r>
    </w:p>
    <w:p>
      <w:pPr>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16.3</w:t>
      </w:r>
      <w:r>
        <w:rPr>
          <w:rFonts w:hint="eastAsia" w:cs="宋体" w:asciiTheme="minorEastAsia" w:hAnsiTheme="minorEastAsia" w:eastAsiaTheme="minorEastAsia"/>
          <w:b/>
          <w:bCs/>
          <w:sz w:val="24"/>
          <w:szCs w:val="24"/>
        </w:rPr>
        <w:t>个体工商户的身份证明与营业执照不一致的；</w:t>
      </w:r>
    </w:p>
    <w:p>
      <w:pPr>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16.4</w:t>
      </w:r>
      <w:r>
        <w:rPr>
          <w:rFonts w:hint="eastAsia" w:cs="宋体" w:asciiTheme="minorEastAsia" w:hAnsiTheme="minorEastAsia" w:eastAsiaTheme="minorEastAsia"/>
          <w:b/>
          <w:bCs/>
          <w:sz w:val="24"/>
          <w:szCs w:val="24"/>
        </w:rPr>
        <w:t>响应文件中的报价函未加盖供应商的企业公章或填写不全的；</w:t>
      </w:r>
    </w:p>
    <w:p>
      <w:pPr>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16.5</w:t>
      </w:r>
      <w:r>
        <w:rPr>
          <w:rFonts w:hint="eastAsia" w:cs="宋体" w:asciiTheme="minorEastAsia" w:hAnsiTheme="minorEastAsia" w:eastAsiaTheme="minorEastAsia"/>
          <w:b/>
          <w:bCs/>
          <w:sz w:val="24"/>
          <w:szCs w:val="24"/>
        </w:rPr>
        <w:t>报价一经涂改，未在涂改处加盖投标单位公章或者未经法定代表人或其授权代表签字或盖章的；</w:t>
      </w:r>
    </w:p>
    <w:p>
      <w:pPr>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16.6</w:t>
      </w:r>
      <w:r>
        <w:rPr>
          <w:rFonts w:hint="eastAsia" w:cs="宋体" w:asciiTheme="minorEastAsia" w:hAnsiTheme="minorEastAsia" w:eastAsiaTheme="minorEastAsia"/>
          <w:b/>
          <w:bCs/>
          <w:sz w:val="24"/>
          <w:szCs w:val="24"/>
        </w:rPr>
        <w:t>因未按规定的格式填写，内容不全或主要实质性内容字迹模糊辨认不清</w:t>
      </w:r>
      <w:r>
        <w:rPr>
          <w:rFonts w:hint="eastAsia" w:ascii="宋体" w:hAnsi="宋体" w:cs="宋体"/>
          <w:b/>
          <w:bCs/>
          <w:sz w:val="24"/>
          <w:szCs w:val="21"/>
        </w:rPr>
        <w:t>,经评标委员会认定为无法评审</w:t>
      </w:r>
      <w:r>
        <w:rPr>
          <w:rFonts w:hint="eastAsia" w:cs="宋体" w:asciiTheme="minorEastAsia" w:hAnsiTheme="minorEastAsia" w:eastAsiaTheme="minorEastAsia"/>
          <w:b/>
          <w:bCs/>
          <w:sz w:val="24"/>
          <w:szCs w:val="24"/>
        </w:rPr>
        <w:t>的；</w:t>
      </w:r>
    </w:p>
    <w:p>
      <w:pPr>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16.7</w:t>
      </w:r>
      <w:r>
        <w:rPr>
          <w:rFonts w:hint="eastAsia" w:cs="宋体" w:asciiTheme="minorEastAsia" w:hAnsiTheme="minorEastAsia" w:eastAsiaTheme="minorEastAsia"/>
          <w:b/>
          <w:bCs/>
          <w:sz w:val="24"/>
          <w:szCs w:val="24"/>
        </w:rPr>
        <w:t>出现同一标的物或本次采购产品</w:t>
      </w:r>
      <w:r>
        <w:rPr>
          <w:rFonts w:cs="宋体" w:asciiTheme="minorEastAsia" w:hAnsiTheme="minorEastAsia" w:eastAsiaTheme="minorEastAsia"/>
          <w:b/>
          <w:bCs/>
          <w:sz w:val="24"/>
          <w:szCs w:val="24"/>
        </w:rPr>
        <w:t>(</w:t>
      </w:r>
      <w:r>
        <w:rPr>
          <w:rFonts w:hint="eastAsia" w:cs="宋体" w:asciiTheme="minorEastAsia" w:hAnsiTheme="minorEastAsia" w:eastAsiaTheme="minorEastAsia"/>
          <w:b/>
          <w:bCs/>
          <w:sz w:val="24"/>
          <w:szCs w:val="24"/>
        </w:rPr>
        <w:t>服务</w:t>
      </w:r>
      <w:r>
        <w:rPr>
          <w:rFonts w:cs="宋体" w:asciiTheme="minorEastAsia" w:hAnsiTheme="minorEastAsia" w:eastAsiaTheme="minorEastAsia"/>
          <w:b/>
          <w:bCs/>
          <w:sz w:val="24"/>
          <w:szCs w:val="24"/>
        </w:rPr>
        <w:t>)</w:t>
      </w:r>
      <w:r>
        <w:rPr>
          <w:rFonts w:hint="eastAsia" w:cs="宋体" w:asciiTheme="minorEastAsia" w:hAnsiTheme="minorEastAsia" w:eastAsiaTheme="minorEastAsia"/>
          <w:b/>
          <w:bCs/>
          <w:sz w:val="24"/>
          <w:szCs w:val="24"/>
        </w:rPr>
        <w:t>内的主要产品</w:t>
      </w:r>
      <w:r>
        <w:rPr>
          <w:rFonts w:cs="宋体" w:asciiTheme="minorEastAsia" w:hAnsiTheme="minorEastAsia" w:eastAsiaTheme="minorEastAsia"/>
          <w:b/>
          <w:bCs/>
          <w:sz w:val="24"/>
          <w:szCs w:val="24"/>
        </w:rPr>
        <w:t>(</w:t>
      </w:r>
      <w:r>
        <w:rPr>
          <w:rFonts w:hint="eastAsia" w:cs="宋体" w:asciiTheme="minorEastAsia" w:hAnsiTheme="minorEastAsia" w:eastAsiaTheme="minorEastAsia"/>
          <w:b/>
          <w:bCs/>
          <w:sz w:val="24"/>
          <w:szCs w:val="24"/>
        </w:rPr>
        <w:t>重要组成部分</w:t>
      </w:r>
      <w:r>
        <w:rPr>
          <w:rFonts w:cs="宋体" w:asciiTheme="minorEastAsia" w:hAnsiTheme="minorEastAsia" w:eastAsiaTheme="minorEastAsia"/>
          <w:b/>
          <w:bCs/>
          <w:sz w:val="24"/>
          <w:szCs w:val="24"/>
        </w:rPr>
        <w:t>)</w:t>
      </w:r>
      <w:r>
        <w:rPr>
          <w:rFonts w:hint="eastAsia" w:cs="宋体" w:asciiTheme="minorEastAsia" w:hAnsiTheme="minorEastAsia" w:eastAsiaTheme="minorEastAsia"/>
          <w:b/>
          <w:bCs/>
          <w:sz w:val="24"/>
          <w:szCs w:val="24"/>
        </w:rPr>
        <w:t>出现技术、商务描述不一致或前后描述不一致</w:t>
      </w:r>
      <w:r>
        <w:rPr>
          <w:rFonts w:hint="eastAsia" w:ascii="宋体" w:hAnsi="宋体" w:cs="宋体"/>
          <w:b/>
          <w:bCs/>
          <w:sz w:val="24"/>
          <w:szCs w:val="21"/>
        </w:rPr>
        <w:t>，经评标委员会认定后为无法评审</w:t>
      </w:r>
      <w:r>
        <w:rPr>
          <w:rFonts w:hint="eastAsia" w:cs="宋体" w:asciiTheme="minorEastAsia" w:hAnsiTheme="minorEastAsia" w:eastAsiaTheme="minorEastAsia"/>
          <w:b/>
          <w:bCs/>
          <w:sz w:val="24"/>
          <w:szCs w:val="24"/>
        </w:rPr>
        <w:t>的；</w:t>
      </w:r>
    </w:p>
    <w:p>
      <w:pPr>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16.8</w:t>
      </w:r>
      <w:r>
        <w:rPr>
          <w:rFonts w:hint="eastAsia" w:cs="宋体" w:asciiTheme="minorEastAsia" w:hAnsiTheme="minorEastAsia" w:eastAsiaTheme="minorEastAsia"/>
          <w:b/>
          <w:bCs/>
          <w:sz w:val="24"/>
          <w:szCs w:val="24"/>
        </w:rPr>
        <w:t>响应详细配置清单响应表不真实填写或弄虚作假的；改变询价文件提供的清单中的计量单位、工程数量；</w:t>
      </w:r>
    </w:p>
    <w:p>
      <w:pPr>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16.9</w:t>
      </w:r>
      <w:r>
        <w:rPr>
          <w:rFonts w:hint="eastAsia" w:cs="宋体" w:asciiTheme="minorEastAsia" w:hAnsiTheme="minorEastAsia" w:eastAsiaTheme="minorEastAsia"/>
          <w:b/>
          <w:bCs/>
          <w:sz w:val="24"/>
          <w:szCs w:val="24"/>
        </w:rPr>
        <w:t>对采购产品技术规格未详细应答</w:t>
      </w:r>
      <w:r>
        <w:rPr>
          <w:rFonts w:hint="eastAsia" w:ascii="宋体" w:hAnsi="宋体" w:cs="宋体"/>
          <w:b/>
          <w:bCs/>
          <w:sz w:val="24"/>
          <w:szCs w:val="21"/>
        </w:rPr>
        <w:t>，致使其技术文件无法评审</w:t>
      </w:r>
      <w:r>
        <w:rPr>
          <w:rFonts w:hint="eastAsia" w:cs="宋体" w:asciiTheme="minorEastAsia" w:hAnsiTheme="minorEastAsia" w:eastAsiaTheme="minorEastAsia"/>
          <w:b/>
          <w:bCs/>
          <w:sz w:val="24"/>
          <w:szCs w:val="24"/>
        </w:rPr>
        <w:t>的；</w:t>
      </w:r>
    </w:p>
    <w:p>
      <w:pPr>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16.10</w:t>
      </w:r>
      <w:r>
        <w:rPr>
          <w:rFonts w:hint="eastAsia" w:cs="宋体" w:asciiTheme="minorEastAsia" w:hAnsiTheme="minorEastAsia" w:eastAsiaTheme="minorEastAsia"/>
          <w:b/>
          <w:bCs/>
          <w:sz w:val="24"/>
          <w:szCs w:val="24"/>
        </w:rPr>
        <w:t>响应文件有采购方不能接受的条件；</w:t>
      </w:r>
    </w:p>
    <w:p>
      <w:pPr>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16.11</w:t>
      </w:r>
      <w:r>
        <w:rPr>
          <w:rFonts w:hint="eastAsia" w:cs="宋体" w:asciiTheme="minorEastAsia" w:hAnsiTheme="minorEastAsia" w:eastAsiaTheme="minorEastAsia"/>
          <w:b/>
          <w:bCs/>
          <w:sz w:val="24"/>
          <w:szCs w:val="24"/>
        </w:rPr>
        <w:t>评标委员会认为供应商的报价明显低于其他通过符合性审查供应商的报价，有可能影响产品质量或者不能诚信履约的，应当要求其在评标现场合理的时间内通过政采云平台提供线上说明，必要时提交相关证明材料。</w:t>
      </w:r>
    </w:p>
    <w:p>
      <w:pPr>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16.12</w:t>
      </w:r>
      <w:r>
        <w:rPr>
          <w:rFonts w:hint="eastAsia" w:cs="宋体" w:asciiTheme="minorEastAsia" w:hAnsiTheme="minorEastAsia" w:eastAsiaTheme="minorEastAsia"/>
          <w:b/>
          <w:bCs/>
          <w:sz w:val="24"/>
          <w:szCs w:val="24"/>
        </w:rPr>
        <w:t>询价报价超过预算金额或最高限价的；</w:t>
      </w:r>
    </w:p>
    <w:p>
      <w:pPr>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16.13</w:t>
      </w:r>
      <w:r>
        <w:rPr>
          <w:rFonts w:hint="eastAsia" w:cs="宋体" w:asciiTheme="minorEastAsia" w:hAnsiTheme="minorEastAsia" w:eastAsiaTheme="minorEastAsia"/>
          <w:b/>
          <w:bCs/>
          <w:sz w:val="24"/>
          <w:szCs w:val="24"/>
        </w:rPr>
        <w:t>响应文件“商务技术文件资料”部分中出现《报价一览表》或《报价明细表》相关内容的；</w:t>
      </w:r>
    </w:p>
    <w:p>
      <w:pPr>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16.14</w:t>
      </w:r>
      <w:r>
        <w:rPr>
          <w:rFonts w:hint="eastAsia" w:cs="宋体" w:asciiTheme="minorEastAsia" w:hAnsiTheme="minorEastAsia" w:eastAsiaTheme="minorEastAsia"/>
          <w:b/>
          <w:bCs/>
          <w:sz w:val="24"/>
          <w:szCs w:val="24"/>
        </w:rPr>
        <w:t>有重大偏差或实质性不响应询价文件要求的，即“★”的关键性指标及技术参数要求负偏离或缺漏；</w:t>
      </w:r>
    </w:p>
    <w:p>
      <w:pPr>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16.15</w:t>
      </w:r>
      <w:r>
        <w:rPr>
          <w:rFonts w:hint="eastAsia" w:cs="宋体" w:asciiTheme="minorEastAsia" w:hAnsiTheme="minorEastAsia" w:eastAsiaTheme="minorEastAsia"/>
          <w:b/>
          <w:bCs/>
          <w:sz w:val="24"/>
          <w:szCs w:val="24"/>
        </w:rPr>
        <w:t>供应商拒绝按询价文件规定的修正原则对响应文件进行修改的；</w:t>
      </w:r>
    </w:p>
    <w:p>
      <w:pPr>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16.16</w:t>
      </w:r>
      <w:r>
        <w:rPr>
          <w:rFonts w:hint="eastAsia" w:cs="宋体" w:asciiTheme="minorEastAsia" w:hAnsiTheme="minorEastAsia" w:eastAsiaTheme="minorEastAsia"/>
          <w:b/>
          <w:bCs/>
          <w:sz w:val="24"/>
          <w:szCs w:val="24"/>
        </w:rPr>
        <w:t>有下列情形之一的，视为供应商串通投标，其投标无效：</w:t>
      </w:r>
    </w:p>
    <w:p>
      <w:pPr>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16.16.1</w:t>
      </w:r>
      <w:r>
        <w:rPr>
          <w:rFonts w:hint="eastAsia" w:cs="宋体" w:asciiTheme="minorEastAsia" w:hAnsiTheme="minorEastAsia" w:eastAsiaTheme="minorEastAsia"/>
          <w:b/>
          <w:bCs/>
          <w:sz w:val="24"/>
          <w:szCs w:val="24"/>
        </w:rPr>
        <w:t>不同供应商的响应文件由同一单位或者个人编制；</w:t>
      </w:r>
    </w:p>
    <w:p>
      <w:pPr>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16.16.2</w:t>
      </w:r>
      <w:r>
        <w:rPr>
          <w:rFonts w:hint="eastAsia" w:cs="宋体" w:asciiTheme="minorEastAsia" w:hAnsiTheme="minorEastAsia" w:eastAsiaTheme="minorEastAsia"/>
          <w:b/>
          <w:bCs/>
          <w:sz w:val="24"/>
          <w:szCs w:val="24"/>
        </w:rPr>
        <w:t>不同供应商委托同一单位或者个人办理投标事宜；</w:t>
      </w:r>
    </w:p>
    <w:p>
      <w:pPr>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16.16.3</w:t>
      </w:r>
      <w:r>
        <w:rPr>
          <w:rFonts w:hint="eastAsia" w:cs="宋体" w:asciiTheme="minorEastAsia" w:hAnsiTheme="minorEastAsia" w:eastAsiaTheme="minorEastAsia"/>
          <w:b/>
          <w:bCs/>
          <w:sz w:val="24"/>
          <w:szCs w:val="24"/>
        </w:rPr>
        <w:t>不同供应商的响应文件载明的项目管理成员或者联系人员为同一人；</w:t>
      </w:r>
    </w:p>
    <w:p>
      <w:pPr>
        <w:spacing w:line="336" w:lineRule="auto"/>
        <w:ind w:firstLine="482" w:firstLineChars="200"/>
        <w:rPr>
          <w:rFonts w:asciiTheme="minorEastAsia" w:hAnsiTheme="minorEastAsia" w:eastAsiaTheme="minorEastAsia"/>
          <w:b/>
          <w:bCs/>
          <w:sz w:val="24"/>
          <w:szCs w:val="24"/>
        </w:rPr>
      </w:pPr>
      <w:r>
        <w:rPr>
          <w:rFonts w:cs="宋体" w:asciiTheme="minorEastAsia" w:hAnsiTheme="minorEastAsia" w:eastAsiaTheme="minorEastAsia"/>
          <w:b/>
          <w:bCs/>
          <w:sz w:val="24"/>
          <w:szCs w:val="24"/>
        </w:rPr>
        <w:t>16.16.4</w:t>
      </w:r>
      <w:r>
        <w:rPr>
          <w:rFonts w:hint="eastAsia" w:cs="宋体" w:asciiTheme="minorEastAsia" w:hAnsiTheme="minorEastAsia" w:eastAsiaTheme="minorEastAsia"/>
          <w:b/>
          <w:bCs/>
          <w:sz w:val="24"/>
          <w:szCs w:val="24"/>
        </w:rPr>
        <w:t>不同供应商的响应文件异常一致或者投标报价呈规律性差异；</w:t>
      </w:r>
    </w:p>
    <w:p>
      <w:pPr>
        <w:spacing w:line="336" w:lineRule="auto"/>
        <w:ind w:firstLine="482" w:firstLineChars="200"/>
        <w:rPr>
          <w:rFonts w:hint="eastAsia" w:cs="宋体" w:asciiTheme="minorEastAsia" w:hAnsiTheme="minorEastAsia" w:eastAsiaTheme="minorEastAsia"/>
          <w:b/>
          <w:bCs/>
          <w:sz w:val="24"/>
          <w:szCs w:val="24"/>
        </w:rPr>
      </w:pPr>
      <w:r>
        <w:rPr>
          <w:rFonts w:cs="宋体" w:asciiTheme="minorEastAsia" w:hAnsiTheme="minorEastAsia" w:eastAsiaTheme="minorEastAsia"/>
          <w:b/>
          <w:bCs/>
          <w:sz w:val="24"/>
          <w:szCs w:val="24"/>
        </w:rPr>
        <w:t>16.16.5</w:t>
      </w:r>
      <w:r>
        <w:rPr>
          <w:rFonts w:hint="eastAsia" w:cs="宋体" w:asciiTheme="minorEastAsia" w:hAnsiTheme="minorEastAsia" w:eastAsiaTheme="minorEastAsia"/>
          <w:b/>
          <w:bCs/>
          <w:sz w:val="24"/>
          <w:szCs w:val="24"/>
        </w:rPr>
        <w:t>不同供应商提供的响应文件出自同一终端设备的，或在相同</w:t>
      </w:r>
      <w:r>
        <w:rPr>
          <w:rFonts w:cs="宋体" w:asciiTheme="minorEastAsia" w:hAnsiTheme="minorEastAsia" w:eastAsiaTheme="minorEastAsia"/>
          <w:b/>
          <w:bCs/>
          <w:sz w:val="24"/>
          <w:szCs w:val="24"/>
        </w:rPr>
        <w:t>Internet</w:t>
      </w:r>
      <w:r>
        <w:rPr>
          <w:rFonts w:hint="eastAsia" w:cs="宋体" w:asciiTheme="minorEastAsia" w:hAnsiTheme="minorEastAsia" w:eastAsiaTheme="minorEastAsia"/>
          <w:b/>
          <w:bCs/>
          <w:sz w:val="24"/>
          <w:szCs w:val="24"/>
        </w:rPr>
        <w:t>主机分配地址（相同</w:t>
      </w:r>
      <w:r>
        <w:rPr>
          <w:rFonts w:cs="宋体" w:asciiTheme="minorEastAsia" w:hAnsiTheme="minorEastAsia" w:eastAsiaTheme="minorEastAsia"/>
          <w:b/>
          <w:bCs/>
          <w:sz w:val="24"/>
          <w:szCs w:val="24"/>
        </w:rPr>
        <w:t>IP</w:t>
      </w:r>
      <w:r>
        <w:rPr>
          <w:rFonts w:hint="eastAsia" w:cs="宋体" w:asciiTheme="minorEastAsia" w:hAnsiTheme="minorEastAsia" w:eastAsiaTheme="minorEastAsia"/>
          <w:b/>
          <w:bCs/>
          <w:sz w:val="24"/>
          <w:szCs w:val="24"/>
        </w:rPr>
        <w:t>地址）报名或网上投标的，且经询标澄清供应商无令人信服的理由和可靠证据证明其合理性的</w:t>
      </w:r>
      <w:r>
        <w:rPr>
          <w:rFonts w:hint="eastAsia" w:ascii="宋体" w:hAnsi="宋体" w:cs="宋体"/>
          <w:b/>
          <w:bCs/>
          <w:sz w:val="24"/>
          <w:szCs w:val="21"/>
        </w:rPr>
        <w:t>，经评标委员会半数以上成员确认有串通投标嫌疑的</w:t>
      </w:r>
      <w:r>
        <w:rPr>
          <w:rFonts w:hint="eastAsia" w:cs="宋体" w:asciiTheme="minorEastAsia" w:hAnsiTheme="minorEastAsia" w:eastAsiaTheme="minorEastAsia"/>
          <w:b/>
          <w:bCs/>
          <w:sz w:val="24"/>
          <w:szCs w:val="24"/>
        </w:rPr>
        <w:t>。</w:t>
      </w:r>
    </w:p>
    <w:p>
      <w:pPr>
        <w:pStyle w:val="2"/>
        <w:ind w:firstLine="482" w:firstLineChars="200"/>
      </w:pPr>
      <w:r>
        <w:rPr>
          <w:rFonts w:hint="eastAsia" w:cs="宋体" w:asciiTheme="minorEastAsia" w:hAnsiTheme="minorEastAsia" w:eastAsiaTheme="minorEastAsia"/>
          <w:b/>
          <w:bCs/>
          <w:sz w:val="24"/>
          <w:szCs w:val="24"/>
        </w:rPr>
        <w:t xml:space="preserve">16.17 </w:t>
      </w:r>
      <w:r>
        <w:rPr>
          <w:rFonts w:hint="eastAsia" w:cs="宋体" w:asciiTheme="minorEastAsia" w:hAnsiTheme="minorEastAsia" w:eastAsiaTheme="minorEastAsia"/>
          <w:b/>
          <w:bCs/>
          <w:sz w:val="24"/>
          <w:szCs w:val="24"/>
          <w:lang w:val="en-US" w:eastAsia="zh-CN"/>
        </w:rPr>
        <w:t>未按规定缴纳询价保证金的；</w:t>
      </w:r>
    </w:p>
    <w:p>
      <w:pPr>
        <w:spacing w:line="336" w:lineRule="auto"/>
        <w:ind w:firstLine="482" w:firstLineChars="200"/>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16.1</w:t>
      </w:r>
      <w:r>
        <w:rPr>
          <w:rFonts w:hint="eastAsia" w:cs="宋体" w:asciiTheme="minorEastAsia" w:hAnsiTheme="minorEastAsia" w:eastAsiaTheme="minorEastAsia"/>
          <w:b/>
          <w:bCs/>
          <w:sz w:val="24"/>
          <w:szCs w:val="24"/>
          <w:lang w:val="en-US" w:eastAsia="zh-CN"/>
        </w:rPr>
        <w:t>8</w:t>
      </w:r>
      <w:r>
        <w:rPr>
          <w:rFonts w:hint="eastAsia" w:cs="宋体" w:asciiTheme="minorEastAsia" w:hAnsiTheme="minorEastAsia" w:eastAsiaTheme="minorEastAsia"/>
          <w:b/>
          <w:bCs/>
          <w:sz w:val="24"/>
          <w:szCs w:val="24"/>
        </w:rPr>
        <w:t xml:space="preserve"> 其他违反法律、法规的情形。</w:t>
      </w:r>
    </w:p>
    <w:p>
      <w:pPr>
        <w:pStyle w:val="2"/>
        <w:numPr>
          <w:ilvl w:val="0"/>
          <w:numId w:val="7"/>
        </w:numPr>
        <w:jc w:val="center"/>
        <w:rPr>
          <w:rFonts w:cs="Times New Roman" w:asciiTheme="minorEastAsia" w:hAnsiTheme="minorEastAsia" w:eastAsiaTheme="minorEastAsia"/>
        </w:rPr>
      </w:pPr>
      <w:bookmarkStart w:id="60" w:name="_Toc110244152"/>
      <w:bookmarkStart w:id="61" w:name="_Toc21752"/>
      <w:r>
        <w:rPr>
          <w:rFonts w:hint="eastAsia" w:asciiTheme="minorEastAsia" w:hAnsiTheme="minorEastAsia" w:eastAsiaTheme="minorEastAsia"/>
        </w:rPr>
        <w:t>采购中止的情形</w:t>
      </w:r>
      <w:bookmarkEnd w:id="60"/>
      <w:bookmarkEnd w:id="61"/>
    </w:p>
    <w:p>
      <w:pPr>
        <w:pStyle w:val="15"/>
        <w:spacing w:line="336" w:lineRule="auto"/>
        <w:ind w:left="400" w:leftChars="200"/>
        <w:rPr>
          <w:rFonts w:cs="Times New Roman" w:asciiTheme="minorEastAsia" w:hAnsiTheme="minorEastAsia" w:eastAsiaTheme="minorEastAsia"/>
          <w:b/>
          <w:bCs/>
          <w:sz w:val="24"/>
          <w:szCs w:val="24"/>
        </w:rPr>
      </w:pPr>
      <w:r>
        <w:rPr>
          <w:rFonts w:asciiTheme="minorEastAsia" w:hAnsiTheme="minorEastAsia" w:eastAsiaTheme="minorEastAsia"/>
          <w:b/>
          <w:bCs/>
          <w:sz w:val="24"/>
          <w:szCs w:val="24"/>
        </w:rPr>
        <w:t>17.</w:t>
      </w:r>
      <w:r>
        <w:rPr>
          <w:rFonts w:hint="eastAsia" w:asciiTheme="minorEastAsia" w:hAnsiTheme="minorEastAsia" w:eastAsiaTheme="minorEastAsia"/>
          <w:b/>
          <w:bCs/>
          <w:sz w:val="24"/>
          <w:szCs w:val="24"/>
          <w:lang w:val="zh-CN"/>
        </w:rPr>
        <w:t>中止电子交易活动和</w:t>
      </w:r>
      <w:r>
        <w:rPr>
          <w:rFonts w:hint="eastAsia" w:asciiTheme="minorEastAsia" w:hAnsiTheme="minorEastAsia" w:eastAsiaTheme="minorEastAsia"/>
          <w:b/>
          <w:bCs/>
          <w:sz w:val="24"/>
          <w:szCs w:val="24"/>
        </w:rPr>
        <w:t>重新组织采购</w:t>
      </w:r>
    </w:p>
    <w:p>
      <w:pPr>
        <w:pStyle w:val="52"/>
        <w:tabs>
          <w:tab w:val="left" w:pos="0"/>
        </w:tabs>
        <w:spacing w:before="0" w:line="336" w:lineRule="auto"/>
        <w:ind w:firstLine="480"/>
        <w:rPr>
          <w:rFonts w:asciiTheme="minorEastAsia" w:hAnsiTheme="minorEastAsia" w:eastAsiaTheme="minorEastAsia"/>
          <w:lang w:val="zh-CN"/>
        </w:rPr>
      </w:pPr>
      <w:r>
        <w:rPr>
          <w:rFonts w:cs="宋体" w:asciiTheme="minorEastAsia" w:hAnsiTheme="minorEastAsia" w:eastAsiaTheme="minorEastAsia"/>
        </w:rPr>
        <w:t>17.1</w:t>
      </w:r>
      <w:r>
        <w:rPr>
          <w:rFonts w:hint="eastAsia" w:cs="宋体" w:asciiTheme="minorEastAsia" w:hAnsiTheme="minorEastAsia" w:eastAsiaTheme="minorEastAsia"/>
          <w:lang w:val="zh-CN"/>
        </w:rPr>
        <w:t>采购过程中出现以下情形，导致电子交易平台无法正常运行，或者无法保证电子交易的公平、公正和安全时，采购组织机构可中止电子交易活动：</w:t>
      </w:r>
    </w:p>
    <w:p>
      <w:pPr>
        <w:numPr>
          <w:ilvl w:val="0"/>
          <w:numId w:val="13"/>
        </w:numPr>
        <w:tabs>
          <w:tab w:val="left" w:pos="0"/>
        </w:tabs>
        <w:spacing w:line="336"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电子交易平台发生故障而无法登录访问的；</w:t>
      </w:r>
    </w:p>
    <w:p>
      <w:pPr>
        <w:numPr>
          <w:ilvl w:val="0"/>
          <w:numId w:val="13"/>
        </w:numPr>
        <w:tabs>
          <w:tab w:val="left" w:pos="0"/>
        </w:tabs>
        <w:spacing w:line="336"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电子交易平台应用或数据库出现错误，不能进行正常操作的；</w:t>
      </w:r>
    </w:p>
    <w:p>
      <w:pPr>
        <w:numPr>
          <w:ilvl w:val="0"/>
          <w:numId w:val="13"/>
        </w:numPr>
        <w:tabs>
          <w:tab w:val="left" w:pos="0"/>
        </w:tabs>
        <w:spacing w:line="336"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电子交易平台发现严重安全漏洞，有潜在泄密危险的；</w:t>
      </w:r>
    </w:p>
    <w:p>
      <w:pPr>
        <w:numPr>
          <w:ilvl w:val="0"/>
          <w:numId w:val="13"/>
        </w:numPr>
        <w:tabs>
          <w:tab w:val="left" w:pos="0"/>
        </w:tabs>
        <w:spacing w:line="336"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病毒发作导致不能进行正常操作的；</w:t>
      </w:r>
    </w:p>
    <w:p>
      <w:pPr>
        <w:numPr>
          <w:ilvl w:val="0"/>
          <w:numId w:val="13"/>
        </w:numPr>
        <w:tabs>
          <w:tab w:val="left" w:pos="0"/>
        </w:tabs>
        <w:spacing w:line="336"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其他无法保证电子交易的公平、公正和安全的情况。</w:t>
      </w:r>
    </w:p>
    <w:p>
      <w:pPr>
        <w:pStyle w:val="2"/>
        <w:numPr>
          <w:ilvl w:val="0"/>
          <w:numId w:val="7"/>
        </w:numPr>
        <w:jc w:val="center"/>
        <w:rPr>
          <w:rFonts w:cs="Times New Roman" w:asciiTheme="minorEastAsia" w:hAnsiTheme="minorEastAsia" w:eastAsiaTheme="minorEastAsia"/>
        </w:rPr>
      </w:pPr>
      <w:bookmarkStart w:id="62" w:name="_Toc110244153"/>
      <w:r>
        <w:rPr>
          <w:rFonts w:hint="eastAsia" w:cs="Times New Roman" w:asciiTheme="minorEastAsia" w:hAnsiTheme="minorEastAsia" w:eastAsiaTheme="minorEastAsia"/>
        </w:rPr>
        <w:t>授予合同</w:t>
      </w:r>
      <w:bookmarkEnd w:id="62"/>
    </w:p>
    <w:p>
      <w:pPr>
        <w:spacing w:line="360" w:lineRule="auto"/>
        <w:ind w:firstLine="482" w:firstLineChars="200"/>
        <w:rPr>
          <w:rFonts w:ascii="宋体" w:hAnsi="宋体" w:cs="宋体"/>
          <w:b/>
          <w:bCs/>
          <w:sz w:val="24"/>
          <w:szCs w:val="32"/>
        </w:rPr>
      </w:pPr>
      <w:bookmarkStart w:id="63" w:name="_Toc84325929"/>
      <w:bookmarkStart w:id="64" w:name="_Toc81372776"/>
      <w:bookmarkStart w:id="65" w:name="_Toc81372953"/>
      <w:r>
        <w:rPr>
          <w:rFonts w:hint="eastAsia" w:ascii="宋体" w:hAnsi="宋体" w:cs="宋体"/>
          <w:b/>
          <w:bCs/>
          <w:sz w:val="24"/>
          <w:szCs w:val="32"/>
        </w:rPr>
        <w:t>18.1询价结果：</w:t>
      </w:r>
    </w:p>
    <w:p>
      <w:pPr>
        <w:spacing w:line="360" w:lineRule="auto"/>
        <w:ind w:firstLine="480" w:firstLineChars="200"/>
        <w:rPr>
          <w:rFonts w:ascii="宋体" w:hAnsi="宋体" w:cs="宋体"/>
          <w:sz w:val="24"/>
          <w:szCs w:val="32"/>
        </w:rPr>
      </w:pPr>
      <w:r>
        <w:rPr>
          <w:rFonts w:hint="eastAsia" w:ascii="宋体" w:hAnsi="宋体" w:cs="宋体"/>
          <w:sz w:val="24"/>
          <w:szCs w:val="32"/>
        </w:rPr>
        <w:t>询价小组完成评定后，向采购人提交经各询价小组成员签字的评审结果报告，并按询价办法确定成交供应商，在浙江政府采购网和绍兴市上虞区公共资源交易中心公告1个工作日，供应商对询价结果如有异议，可在规定时间内以书面形式署名向采购人提出质疑，但需对投诉或质疑内容的真实性承担法律责任。供应商质疑、投诉应当有明确的请求和必要的证明材料，供应商投诉的事项不得超出已质疑事项的范围。</w:t>
      </w:r>
    </w:p>
    <w:p>
      <w:pPr>
        <w:spacing w:line="360" w:lineRule="auto"/>
        <w:ind w:firstLine="482" w:firstLineChars="200"/>
        <w:rPr>
          <w:rFonts w:ascii="宋体" w:hAnsi="宋体" w:cs="宋体"/>
          <w:b/>
          <w:bCs/>
          <w:sz w:val="24"/>
          <w:szCs w:val="32"/>
        </w:rPr>
      </w:pPr>
      <w:r>
        <w:rPr>
          <w:rFonts w:hint="eastAsia" w:ascii="宋体" w:hAnsi="宋体" w:cs="宋体"/>
          <w:b/>
          <w:bCs/>
          <w:sz w:val="24"/>
          <w:szCs w:val="32"/>
        </w:rPr>
        <w:t>18.2成交通知和合同授予</w:t>
      </w:r>
    </w:p>
    <w:p>
      <w:pPr>
        <w:spacing w:line="360" w:lineRule="auto"/>
        <w:ind w:firstLine="480" w:firstLineChars="200"/>
        <w:rPr>
          <w:rFonts w:ascii="宋体" w:hAnsi="宋体" w:cs="宋体"/>
          <w:sz w:val="24"/>
          <w:szCs w:val="32"/>
        </w:rPr>
      </w:pPr>
      <w:r>
        <w:rPr>
          <w:rFonts w:hint="eastAsia" w:ascii="宋体" w:hAnsi="宋体" w:cs="宋体"/>
          <w:sz w:val="24"/>
          <w:szCs w:val="32"/>
        </w:rPr>
        <w:t>（1）采购人应当自中标通知书发出之日起30日内，按照询价文件和成交供应商响应文件的规定，与成交供应商签订书面合同。所签订的合同不得对询价文件确定的事项和成交供应商响应文件作实质性修改。</w:t>
      </w:r>
    </w:p>
    <w:p>
      <w:pPr>
        <w:spacing w:line="360" w:lineRule="auto"/>
        <w:ind w:firstLine="480" w:firstLineChars="200"/>
        <w:rPr>
          <w:rFonts w:ascii="宋体" w:hAnsi="宋体" w:cs="宋体"/>
          <w:szCs w:val="32"/>
        </w:rPr>
      </w:pPr>
      <w:r>
        <w:rPr>
          <w:rFonts w:hint="eastAsia" w:ascii="宋体" w:hAnsi="宋体" w:cs="宋体"/>
          <w:sz w:val="24"/>
          <w:szCs w:val="32"/>
        </w:rPr>
        <w:t>（2）中标或者成交供应商拒绝与采购人签订合同的，采购人可以按照评审报告推荐的中标或者成交候选人名单排序，确定下一候选人为中标或者成交供应商，也可以重新开展政府采购活动。</w:t>
      </w:r>
    </w:p>
    <w:p>
      <w:pPr>
        <w:spacing w:line="360" w:lineRule="auto"/>
        <w:ind w:firstLine="482" w:firstLineChars="200"/>
        <w:jc w:val="left"/>
        <w:rPr>
          <w:rFonts w:ascii="宋体" w:hAnsi="宋体" w:cs="宋体"/>
          <w:b/>
          <w:sz w:val="24"/>
        </w:rPr>
      </w:pPr>
      <w:r>
        <w:rPr>
          <w:rFonts w:hint="eastAsia" w:ascii="宋体" w:hAnsi="宋体" w:cs="宋体"/>
          <w:b/>
          <w:sz w:val="24"/>
        </w:rPr>
        <w:t>18.3中标通知</w:t>
      </w:r>
    </w:p>
    <w:bookmarkEnd w:id="63"/>
    <w:bookmarkEnd w:id="64"/>
    <w:bookmarkEnd w:id="65"/>
    <w:p>
      <w:pPr>
        <w:pStyle w:val="15"/>
        <w:spacing w:line="360" w:lineRule="auto"/>
        <w:ind w:firstLine="480" w:firstLineChars="200"/>
        <w:jc w:val="left"/>
        <w:rPr>
          <w:rFonts w:hAnsi="宋体"/>
          <w:sz w:val="24"/>
        </w:rPr>
      </w:pPr>
      <w:r>
        <w:rPr>
          <w:rFonts w:hint="eastAsia" w:hAnsi="宋体"/>
          <w:sz w:val="24"/>
          <w:szCs w:val="32"/>
        </w:rPr>
        <w:t>（1）</w:t>
      </w:r>
      <w:r>
        <w:rPr>
          <w:rFonts w:hint="eastAsia" w:hAnsi="宋体"/>
          <w:sz w:val="24"/>
        </w:rPr>
        <w:t>采购代理机构在询价结束后7日内向成交供应商签发中标通知书。</w:t>
      </w:r>
    </w:p>
    <w:p>
      <w:pPr>
        <w:pStyle w:val="15"/>
        <w:spacing w:line="360" w:lineRule="auto"/>
        <w:ind w:firstLine="480" w:firstLineChars="200"/>
        <w:jc w:val="left"/>
        <w:rPr>
          <w:rFonts w:hAnsi="宋体"/>
          <w:sz w:val="24"/>
        </w:rPr>
      </w:pPr>
      <w:r>
        <w:rPr>
          <w:rFonts w:hint="eastAsia" w:hAnsi="宋体"/>
          <w:sz w:val="24"/>
          <w:szCs w:val="32"/>
        </w:rPr>
        <w:t>（2）</w:t>
      </w:r>
      <w:r>
        <w:rPr>
          <w:rFonts w:hint="eastAsia" w:hAnsi="宋体"/>
          <w:sz w:val="24"/>
        </w:rPr>
        <w:t>在采购机构发出成交通知书前，预成交供应商有违反有关法律法规和本项目要求行为的，则取消该供应商的预中标资格，</w:t>
      </w:r>
      <w:r>
        <w:rPr>
          <w:rFonts w:hint="eastAsia" w:hAnsi="宋体"/>
          <w:sz w:val="24"/>
          <w:szCs w:val="32"/>
        </w:rPr>
        <w:t>列入政府采购活动不良诚信行为</w:t>
      </w:r>
      <w:r>
        <w:rPr>
          <w:rFonts w:hint="eastAsia" w:hAnsi="宋体"/>
          <w:sz w:val="24"/>
        </w:rPr>
        <w:t>。</w:t>
      </w:r>
    </w:p>
    <w:p>
      <w:pPr>
        <w:pStyle w:val="52"/>
        <w:snapToGrid w:val="0"/>
        <w:spacing w:before="0"/>
        <w:ind w:firstLine="480"/>
        <w:rPr>
          <w:rFonts w:ascii="宋体" w:hAnsi="宋体" w:cs="宋体"/>
        </w:rPr>
      </w:pPr>
      <w:r>
        <w:rPr>
          <w:rFonts w:hint="eastAsia" w:ascii="宋体" w:hAnsi="宋体" w:cs="宋体"/>
          <w:szCs w:val="32"/>
        </w:rPr>
        <w:t>（3）</w:t>
      </w:r>
      <w:r>
        <w:rPr>
          <w:rFonts w:hint="eastAsia" w:hAnsi="宋体" w:cs="宋体"/>
        </w:rPr>
        <w:t>采购人、采购机构对中标结果不作任何说明和解释，也不回答任何提问。</w:t>
      </w:r>
    </w:p>
    <w:p>
      <w:pPr>
        <w:adjustRightInd w:val="0"/>
        <w:snapToGrid w:val="0"/>
        <w:spacing w:line="360" w:lineRule="auto"/>
        <w:ind w:firstLine="482" w:firstLineChars="200"/>
        <w:rPr>
          <w:rFonts w:ascii="宋体" w:hAnsi="宋体" w:cs="宋体"/>
          <w:b/>
          <w:sz w:val="24"/>
        </w:rPr>
      </w:pPr>
      <w:r>
        <w:rPr>
          <w:rFonts w:hint="eastAsia" w:ascii="宋体" w:hAnsi="宋体" w:cs="宋体"/>
          <w:b/>
          <w:sz w:val="24"/>
        </w:rPr>
        <w:t>18.4解释权</w:t>
      </w:r>
    </w:p>
    <w:p>
      <w:pPr>
        <w:adjustRightInd w:val="0"/>
        <w:spacing w:line="336" w:lineRule="auto"/>
        <w:ind w:firstLine="480" w:firstLineChars="200"/>
        <w:rPr>
          <w:rFonts w:asciiTheme="minorEastAsia" w:hAnsiTheme="minorEastAsia" w:eastAsiaTheme="minorEastAsia"/>
          <w:sz w:val="24"/>
          <w:szCs w:val="24"/>
        </w:rPr>
      </w:pPr>
      <w:r>
        <w:rPr>
          <w:rFonts w:hint="eastAsia" w:ascii="宋体" w:hAnsi="宋体" w:cs="宋体"/>
          <w:sz w:val="24"/>
        </w:rPr>
        <w:t>询价文件的解释权均属于</w:t>
      </w:r>
      <w:r>
        <w:rPr>
          <w:rFonts w:hint="eastAsia" w:ascii="宋体" w:hAnsi="宋体" w:cs="宋体"/>
          <w:sz w:val="24"/>
          <w:u w:val="single"/>
          <w:lang w:eastAsia="zh-CN"/>
        </w:rPr>
        <w:t>绍兴市上虞</w:t>
      </w:r>
      <w:r>
        <w:rPr>
          <w:rFonts w:hint="eastAsia" w:ascii="宋体" w:hAnsi="宋体" w:cs="宋体"/>
          <w:sz w:val="24"/>
          <w:u w:val="single"/>
          <w:lang w:val="en-US" w:eastAsia="zh-CN"/>
        </w:rPr>
        <w:t>城市建设集团</w:t>
      </w:r>
      <w:r>
        <w:rPr>
          <w:rFonts w:hint="eastAsia" w:ascii="宋体" w:hAnsi="宋体" w:cs="宋体"/>
          <w:sz w:val="24"/>
          <w:u w:val="single"/>
          <w:lang w:eastAsia="zh-CN"/>
        </w:rPr>
        <w:t>有限公司</w:t>
      </w:r>
      <w:r>
        <w:rPr>
          <w:rFonts w:hint="eastAsia" w:ascii="宋体" w:hAnsi="宋体" w:cs="宋体"/>
          <w:sz w:val="24"/>
        </w:rPr>
        <w:t>和</w:t>
      </w:r>
      <w:r>
        <w:rPr>
          <w:rFonts w:hint="eastAsia" w:ascii="宋体" w:hAnsi="宋体" w:cs="宋体"/>
          <w:sz w:val="24"/>
          <w:u w:val="single"/>
        </w:rPr>
        <w:t>绍兴明晨建设项目管理有限公司</w:t>
      </w:r>
      <w:r>
        <w:rPr>
          <w:rFonts w:hint="eastAsia" w:ascii="宋体" w:hAnsi="宋体" w:cs="宋体"/>
          <w:sz w:val="24"/>
        </w:rPr>
        <w:t>。</w:t>
      </w:r>
    </w:p>
    <w:p>
      <w:pPr>
        <w:pStyle w:val="5"/>
        <w:jc w:val="center"/>
        <w:rPr>
          <w:rFonts w:cs="Times New Roman" w:asciiTheme="minorEastAsia" w:hAnsiTheme="minorEastAsia" w:eastAsiaTheme="minorEastAsia"/>
          <w:sz w:val="36"/>
          <w:szCs w:val="36"/>
        </w:rPr>
      </w:pPr>
      <w:r>
        <w:rPr>
          <w:rFonts w:asciiTheme="minorEastAsia" w:hAnsiTheme="minorEastAsia" w:eastAsiaTheme="minorEastAsia"/>
          <w:sz w:val="36"/>
          <w:szCs w:val="36"/>
        </w:rPr>
        <w:br w:type="page"/>
      </w:r>
      <w:bookmarkStart w:id="66" w:name="_Toc110244154"/>
      <w:bookmarkStart w:id="67" w:name="_Toc21248"/>
      <w:r>
        <w:rPr>
          <w:rFonts w:hint="eastAsia" w:asciiTheme="minorEastAsia" w:hAnsiTheme="minorEastAsia" w:eastAsiaTheme="minorEastAsia"/>
          <w:sz w:val="36"/>
          <w:szCs w:val="36"/>
        </w:rPr>
        <w:t>第三部分</w:t>
      </w:r>
      <w:r>
        <w:rPr>
          <w:rFonts w:hint="eastAsia" w:cs="宋体" w:asciiTheme="minorEastAsia" w:hAnsiTheme="minorEastAsia" w:eastAsiaTheme="minorEastAsia"/>
          <w:sz w:val="36"/>
          <w:szCs w:val="36"/>
        </w:rPr>
        <w:t>采购内容及要求</w:t>
      </w:r>
      <w:bookmarkEnd w:id="66"/>
      <w:bookmarkEnd w:id="67"/>
    </w:p>
    <w:p>
      <w:pPr>
        <w:pStyle w:val="2"/>
        <w:jc w:val="center"/>
        <w:rPr>
          <w:rFonts w:asciiTheme="minorEastAsia" w:hAnsiTheme="minorEastAsia" w:eastAsiaTheme="minorEastAsia"/>
          <w:bCs w:val="0"/>
        </w:rPr>
      </w:pPr>
      <w:bookmarkStart w:id="68" w:name="_Toc110244155"/>
      <w:bookmarkStart w:id="69" w:name="_Toc9413"/>
      <w:bookmarkStart w:id="70" w:name="_Toc25162757"/>
      <w:bookmarkStart w:id="71" w:name="_Toc24114"/>
      <w:bookmarkStart w:id="72" w:name="_Toc6216"/>
      <w:bookmarkStart w:id="73" w:name="_Toc28762"/>
      <w:bookmarkStart w:id="74" w:name="_Toc25469"/>
      <w:bookmarkStart w:id="75" w:name="_Toc15473"/>
      <w:bookmarkStart w:id="76" w:name="_Toc25162762"/>
      <w:bookmarkStart w:id="77" w:name="_Toc506107121"/>
      <w:bookmarkStart w:id="78" w:name="_Toc31735"/>
      <w:bookmarkStart w:id="79" w:name="_Toc15284"/>
      <w:r>
        <w:rPr>
          <w:rFonts w:hint="eastAsia" w:asciiTheme="minorEastAsia" w:hAnsiTheme="minorEastAsia" w:eastAsiaTheme="minorEastAsia"/>
        </w:rPr>
        <w:t>第一章 采购内容及要求</w:t>
      </w:r>
      <w:bookmarkEnd w:id="68"/>
      <w:bookmarkEnd w:id="69"/>
    </w:p>
    <w:bookmarkEnd w:id="70"/>
    <w:bookmarkEnd w:id="71"/>
    <w:bookmarkEnd w:id="72"/>
    <w:bookmarkEnd w:id="73"/>
    <w:bookmarkEnd w:id="74"/>
    <w:bookmarkEnd w:id="75"/>
    <w:bookmarkEnd w:id="76"/>
    <w:bookmarkEnd w:id="77"/>
    <w:bookmarkEnd w:id="78"/>
    <w:p>
      <w:pPr>
        <w:pStyle w:val="5"/>
        <w:jc w:val="left"/>
        <w:rPr>
          <w:rFonts w:ascii="宋体" w:hAnsi="Times New Roman" w:cs="Times New Roman"/>
          <w:kern w:val="2"/>
          <w:sz w:val="24"/>
          <w:szCs w:val="24"/>
        </w:rPr>
      </w:pPr>
      <w:bookmarkStart w:id="80" w:name="_Toc274477897"/>
      <w:bookmarkStart w:id="81" w:name="_Toc274478233"/>
      <w:bookmarkStart w:id="82" w:name="_Toc224554903"/>
      <w:bookmarkStart w:id="83" w:name="_Toc446571868"/>
      <w:bookmarkStart w:id="84" w:name="_Toc110244164"/>
      <w:r>
        <w:rPr>
          <w:rFonts w:hint="eastAsia" w:ascii="宋体" w:hAnsi="Times New Roman" w:cs="Times New Roman"/>
          <w:kern w:val="2"/>
          <w:sz w:val="24"/>
          <w:szCs w:val="24"/>
        </w:rPr>
        <w:t>一、项目概述</w:t>
      </w:r>
      <w:bookmarkEnd w:id="80"/>
      <w:bookmarkEnd w:id="81"/>
      <w:bookmarkEnd w:id="82"/>
      <w:bookmarkEnd w:id="83"/>
    </w:p>
    <w:p>
      <w:pPr>
        <w:spacing w:line="460" w:lineRule="exact"/>
        <w:ind w:firstLine="480" w:firstLineChars="200"/>
        <w:rPr>
          <w:rFonts w:ascii="宋体" w:hAnsi="宋体" w:cs="宋体"/>
          <w:color w:val="000000"/>
          <w:sz w:val="24"/>
        </w:rPr>
      </w:pPr>
      <w:r>
        <w:rPr>
          <w:rFonts w:hint="eastAsia" w:ascii="宋体" w:hAnsi="宋体" w:cs="宋体"/>
          <w:color w:val="000000"/>
          <w:sz w:val="24"/>
        </w:rPr>
        <w:t>本项目为</w:t>
      </w:r>
      <w:r>
        <w:rPr>
          <w:rFonts w:hint="eastAsia" w:ascii="宋体" w:hAnsi="宋体" w:eastAsia="宋体" w:cs="宋体"/>
          <w:snapToGrid/>
          <w:color w:val="000000"/>
          <w:sz w:val="24"/>
          <w:szCs w:val="22"/>
          <w:lang w:eastAsia="zh-CN"/>
        </w:rPr>
        <w:t>建设大厦食堂设施设备</w:t>
      </w:r>
      <w:r>
        <w:rPr>
          <w:rFonts w:hint="eastAsia" w:ascii="宋体" w:hAnsi="宋体" w:cs="宋体"/>
          <w:color w:val="000000"/>
          <w:sz w:val="24"/>
        </w:rPr>
        <w:t>采购项目。</w:t>
      </w:r>
    </w:p>
    <w:p>
      <w:pPr>
        <w:pStyle w:val="5"/>
        <w:jc w:val="left"/>
        <w:rPr>
          <w:rFonts w:ascii="宋体" w:hAnsi="宋体" w:cs="宋体"/>
          <w:kern w:val="2"/>
          <w:sz w:val="24"/>
          <w:szCs w:val="24"/>
        </w:rPr>
      </w:pPr>
      <w:bookmarkStart w:id="85" w:name="_Toc446571869"/>
      <w:r>
        <w:rPr>
          <w:rFonts w:hint="eastAsia" w:ascii="宋体" w:hAnsi="宋体" w:cs="宋体"/>
          <w:kern w:val="2"/>
          <w:sz w:val="24"/>
          <w:szCs w:val="24"/>
        </w:rPr>
        <w:t>二、</w:t>
      </w:r>
      <w:bookmarkEnd w:id="85"/>
      <w:r>
        <w:rPr>
          <w:rFonts w:hint="eastAsia" w:ascii="宋体" w:hAnsi="宋体" w:cs="宋体"/>
          <w:kern w:val="2"/>
          <w:sz w:val="24"/>
          <w:szCs w:val="24"/>
        </w:rPr>
        <w:t>项目背景</w:t>
      </w:r>
    </w:p>
    <w:p>
      <w:pPr>
        <w:spacing w:line="460" w:lineRule="exact"/>
        <w:ind w:firstLine="480" w:firstLineChars="200"/>
        <w:rPr>
          <w:rFonts w:hint="default" w:ascii="宋体" w:hAnsi="宋体" w:eastAsia="宋体" w:cs="宋体"/>
          <w:color w:val="000000"/>
          <w:sz w:val="24"/>
          <w:lang w:val="en-US" w:eastAsia="zh-CN"/>
        </w:rPr>
      </w:pPr>
      <w:r>
        <w:rPr>
          <w:rFonts w:hint="eastAsia" w:ascii="宋体" w:hAnsi="宋体" w:cs="宋体"/>
          <w:color w:val="000000"/>
          <w:sz w:val="24"/>
          <w:lang w:eastAsia="zh-CN"/>
        </w:rPr>
        <w:t>建设</w:t>
      </w:r>
      <w:r>
        <w:rPr>
          <w:rFonts w:hint="default" w:ascii="宋体" w:hAnsi="宋体" w:cs="宋体"/>
          <w:color w:val="000000"/>
          <w:sz w:val="24"/>
          <w:lang w:eastAsia="zh-CN"/>
        </w:rPr>
        <w:t>大厦</w:t>
      </w:r>
      <w:r>
        <w:rPr>
          <w:rFonts w:hint="eastAsia" w:ascii="宋体" w:hAnsi="宋体" w:cs="宋体"/>
          <w:color w:val="000000"/>
          <w:sz w:val="24"/>
          <w:lang w:eastAsia="zh-CN"/>
        </w:rPr>
        <w:t>食堂于</w:t>
      </w:r>
      <w:r>
        <w:rPr>
          <w:rFonts w:hint="eastAsia" w:ascii="宋体" w:hAnsi="宋体" w:cs="宋体"/>
          <w:color w:val="000000"/>
          <w:sz w:val="24"/>
          <w:lang w:val="en-US" w:eastAsia="zh-CN"/>
        </w:rPr>
        <w:t>2007年改造后已使用15年之久，厨具、餐具、电气、电子设备、餐座椅等设施设备</w:t>
      </w:r>
      <w:r>
        <w:rPr>
          <w:rFonts w:hint="eastAsia" w:ascii="宋体" w:hAnsi="宋体" w:eastAsia="宋体" w:cs="宋体"/>
          <w:color w:val="000000"/>
          <w:sz w:val="24"/>
          <w:lang w:eastAsia="zh-CN"/>
        </w:rPr>
        <w:t>都存在不同程度生锈或损坏严重，无法使用，存在安全隐患，急需更换。目前的食堂功能布局及设施设备已不符合</w:t>
      </w:r>
      <w:r>
        <w:rPr>
          <w:rFonts w:hint="eastAsia" w:ascii="宋体" w:hAnsi="宋体" w:eastAsia="宋体" w:cs="宋体"/>
          <w:color w:val="000000"/>
          <w:sz w:val="24"/>
          <w:lang w:val="en-US" w:eastAsia="zh-CN"/>
        </w:rPr>
        <w:t>2018年国家</w:t>
      </w:r>
      <w:r>
        <w:rPr>
          <w:rFonts w:hint="eastAsia" w:ascii="宋体" w:hAnsi="宋体" w:cs="宋体"/>
          <w:color w:val="000000"/>
          <w:sz w:val="24"/>
          <w:lang w:val="en-US" w:eastAsia="zh-CN"/>
        </w:rPr>
        <w:t>市场监督管理总局</w:t>
      </w:r>
      <w:bookmarkStart w:id="116" w:name="_GoBack"/>
      <w:bookmarkEnd w:id="116"/>
      <w:r>
        <w:rPr>
          <w:rFonts w:hint="eastAsia" w:ascii="宋体" w:hAnsi="宋体" w:eastAsia="宋体" w:cs="宋体"/>
          <w:color w:val="000000"/>
          <w:sz w:val="24"/>
          <w:lang w:val="en-US" w:eastAsia="zh-CN"/>
        </w:rPr>
        <w:t>发布的《餐饮服务食品安全操作规范》，无法办理许可证，需要重新布局改造。</w:t>
      </w:r>
    </w:p>
    <w:p>
      <w:pPr>
        <w:spacing w:line="460" w:lineRule="exact"/>
        <w:ind w:firstLine="480" w:firstLineChars="200"/>
        <w:rPr>
          <w:rFonts w:ascii="宋体" w:hAnsi="宋体" w:cs="宋体"/>
          <w:color w:val="000000"/>
          <w:sz w:val="24"/>
        </w:rPr>
      </w:pPr>
      <w:r>
        <w:rPr>
          <w:rFonts w:hint="eastAsia" w:ascii="宋体" w:hAnsi="宋体" w:cs="宋体"/>
          <w:color w:val="000000"/>
          <w:sz w:val="24"/>
        </w:rPr>
        <w:t>在“互联网+”时代背景下，随着信息化发展的不断深入、人工智能、智能手机应用的大量普及，传统一卡通表现形式正在向智能一卡通的应用推进。</w:t>
      </w:r>
    </w:p>
    <w:p>
      <w:pPr>
        <w:spacing w:line="460" w:lineRule="exact"/>
        <w:ind w:firstLine="480" w:firstLineChars="200"/>
        <w:rPr>
          <w:rFonts w:ascii="宋体" w:hAnsi="宋体" w:cs="宋体"/>
          <w:color w:val="000000"/>
          <w:sz w:val="24"/>
        </w:rPr>
      </w:pPr>
      <w:r>
        <w:rPr>
          <w:rFonts w:hint="eastAsia" w:ascii="宋体" w:hAnsi="宋体" w:cs="宋体"/>
          <w:color w:val="000000"/>
          <w:sz w:val="24"/>
        </w:rPr>
        <w:t>现有的一卡通系统于多年前开始建设，其应用主要涵盖了食堂、超市消费。随着移动互联网的快速发展及应用需求的不断增加，现有的一卡通系统已经不能满足广大职工的使用需求。整个系统存在软件功能扩展受限、终端硬件设备不支持人脸支付，大大降低了职工的体验。</w:t>
      </w:r>
    </w:p>
    <w:p>
      <w:pPr>
        <w:spacing w:line="460" w:lineRule="exact"/>
        <w:ind w:firstLine="480" w:firstLineChars="200"/>
        <w:rPr>
          <w:rFonts w:ascii="宋体" w:hAnsi="宋体" w:cs="宋体"/>
          <w:color w:val="000000"/>
          <w:sz w:val="24"/>
        </w:rPr>
      </w:pPr>
      <w:r>
        <w:rPr>
          <w:rFonts w:hint="eastAsia" w:ascii="宋体" w:hAnsi="宋体" w:cs="宋体"/>
          <w:color w:val="000000"/>
          <w:sz w:val="24"/>
        </w:rPr>
        <w:t>基于建设需求，结合上虞区住房和城乡建设局的发展规划，将对目前的一卡通系统进行迭代改造建设。更新后的一卡通系统实现一个数据中心，统一密钥，统一发卡、统一管理平台，真正做到“一人、一卡、一脸、一库”。从而提高我司一卡通系统建设和应用的整体水平。</w:t>
      </w:r>
    </w:p>
    <w:p>
      <w:pPr>
        <w:pStyle w:val="5"/>
        <w:jc w:val="left"/>
        <w:rPr>
          <w:rFonts w:ascii="宋体" w:hAnsi="宋体" w:cs="宋体"/>
          <w:kern w:val="2"/>
          <w:sz w:val="24"/>
          <w:szCs w:val="24"/>
        </w:rPr>
      </w:pPr>
      <w:bookmarkStart w:id="86" w:name="_Toc446571870"/>
      <w:r>
        <w:rPr>
          <w:rFonts w:hint="eastAsia" w:ascii="宋体" w:hAnsi="宋体" w:cs="宋体"/>
          <w:kern w:val="2"/>
          <w:sz w:val="24"/>
          <w:szCs w:val="24"/>
        </w:rPr>
        <w:t>三、建设目标</w:t>
      </w:r>
      <w:bookmarkEnd w:id="86"/>
    </w:p>
    <w:p>
      <w:pPr>
        <w:spacing w:line="360" w:lineRule="auto"/>
        <w:ind w:firstLine="480" w:firstLineChars="200"/>
        <w:rPr>
          <w:color w:val="000000"/>
        </w:rPr>
      </w:pPr>
      <w:r>
        <w:rPr>
          <w:rFonts w:hint="eastAsia" w:ascii="宋体" w:hAnsi="宋体" w:eastAsia="宋体" w:cs="宋体"/>
          <w:color w:val="000000"/>
          <w:sz w:val="24"/>
          <w:lang w:val="en-US" w:eastAsia="zh-CN"/>
        </w:rPr>
        <w:t>为切实消除</w:t>
      </w:r>
      <w:r>
        <w:rPr>
          <w:rFonts w:hint="default" w:ascii="宋体" w:hAnsi="宋体" w:cs="宋体"/>
          <w:color w:val="000000"/>
          <w:sz w:val="24"/>
          <w:lang w:eastAsia="zh-CN"/>
        </w:rPr>
        <w:t>建设大厦</w:t>
      </w:r>
      <w:r>
        <w:rPr>
          <w:rFonts w:hint="eastAsia" w:ascii="宋体" w:hAnsi="宋体" w:eastAsia="宋体" w:cs="宋体"/>
          <w:color w:val="000000"/>
          <w:sz w:val="24"/>
          <w:lang w:val="en-US" w:eastAsia="zh-CN"/>
        </w:rPr>
        <w:t>食堂安全隐患</w:t>
      </w:r>
      <w:r>
        <w:rPr>
          <w:rFonts w:hint="eastAsia" w:ascii="宋体" w:hAnsi="宋体" w:eastAsia="宋体" w:cs="宋体"/>
          <w:color w:val="000000"/>
          <w:sz w:val="24"/>
          <w:lang w:eastAsia="zh-CN"/>
        </w:rPr>
        <w:t>，进一步按照相关规范完善食堂功能布局，提升食品安全管理能力，保障餐饮食品安全，故通过本次采购完成对原有厨房设备的更换以及一卡通平台系统的升级</w:t>
      </w:r>
      <w:r>
        <w:rPr>
          <w:rFonts w:hint="eastAsia" w:ascii="宋体" w:hAnsi="宋体" w:cs="宋体"/>
          <w:color w:val="000000"/>
          <w:sz w:val="24"/>
        </w:rPr>
        <w:t>，建设开放、共享、先进、实用的新一代智能支付系统，在现有一卡通实体卡基础上引入二维码、人脸识别等“虚实结合”的识别支付方式，提供卡、码、脸多样化的支付通道；同时以完全开放、标准的数据接口与数据中台、统一身份认证等信息化应用系统实现深度融合、对接，避免形成新的数据孤岛和业务孤岛，提高信息与资源共享程度，提升信息化管理水平。</w:t>
      </w:r>
    </w:p>
    <w:p>
      <w:pPr>
        <w:pStyle w:val="5"/>
        <w:numPr>
          <w:ilvl w:val="0"/>
          <w:numId w:val="14"/>
        </w:numPr>
        <w:jc w:val="left"/>
        <w:rPr>
          <w:rFonts w:ascii="宋体" w:hAnsi="宋体" w:cs="宋体"/>
          <w:kern w:val="2"/>
          <w:sz w:val="24"/>
          <w:szCs w:val="24"/>
        </w:rPr>
      </w:pPr>
      <w:r>
        <w:rPr>
          <w:rFonts w:hint="eastAsia" w:ascii="宋体" w:hAnsi="宋体" w:cs="宋体"/>
          <w:kern w:val="2"/>
          <w:sz w:val="24"/>
          <w:szCs w:val="24"/>
        </w:rPr>
        <w:t>设备清单及技术要求</w:t>
      </w:r>
    </w:p>
    <w:p>
      <w:pPr>
        <w:pStyle w:val="5"/>
        <w:jc w:val="left"/>
        <w:rPr>
          <w:rFonts w:ascii="宋体" w:hAnsi="宋体" w:cs="宋体"/>
          <w:kern w:val="2"/>
          <w:sz w:val="24"/>
          <w:szCs w:val="24"/>
        </w:rPr>
      </w:pPr>
      <w:r>
        <w:rPr>
          <w:rFonts w:hint="eastAsia" w:ascii="宋体" w:hAnsi="宋体" w:cs="宋体"/>
          <w:color w:val="000000"/>
          <w:kern w:val="0"/>
          <w:sz w:val="21"/>
          <w:szCs w:val="21"/>
          <w:lang w:bidi="ar"/>
        </w:rPr>
        <w:t xml:space="preserve">（1）智能结算台结算系统设备清单 </w:t>
      </w:r>
      <w:r>
        <w:rPr>
          <w:rFonts w:hint="eastAsia" w:ascii="新宋体" w:hAnsi="新宋体" w:eastAsia="新宋体" w:cs="新宋体"/>
          <w:color w:val="000000"/>
          <w:kern w:val="0"/>
          <w:sz w:val="28"/>
          <w:szCs w:val="28"/>
          <w:lang w:bidi="ar"/>
        </w:rPr>
        <w:t xml:space="preserve">  </w:t>
      </w:r>
    </w:p>
    <w:tbl>
      <w:tblPr>
        <w:tblStyle w:val="26"/>
        <w:tblpPr w:leftFromText="180" w:rightFromText="180" w:vertAnchor="text" w:horzAnchor="page" w:tblpX="1515" w:tblpY="782"/>
        <w:tblOverlap w:val="never"/>
        <w:tblW w:w="9287" w:type="dxa"/>
        <w:tblInd w:w="0" w:type="dxa"/>
        <w:tblLayout w:type="fixed"/>
        <w:tblCellMar>
          <w:top w:w="0" w:type="dxa"/>
          <w:left w:w="108" w:type="dxa"/>
          <w:bottom w:w="0" w:type="dxa"/>
          <w:right w:w="108" w:type="dxa"/>
        </w:tblCellMar>
      </w:tblPr>
      <w:tblGrid>
        <w:gridCol w:w="577"/>
        <w:gridCol w:w="1102"/>
        <w:gridCol w:w="23"/>
        <w:gridCol w:w="958"/>
        <w:gridCol w:w="3797"/>
        <w:gridCol w:w="1073"/>
        <w:gridCol w:w="831"/>
        <w:gridCol w:w="926"/>
      </w:tblGrid>
      <w:tr>
        <w:tblPrEx>
          <w:tblCellMar>
            <w:top w:w="0" w:type="dxa"/>
            <w:left w:w="108" w:type="dxa"/>
            <w:bottom w:w="0" w:type="dxa"/>
            <w:right w:w="108" w:type="dxa"/>
          </w:tblCellMar>
        </w:tblPrEx>
        <w:trPr>
          <w:trHeight w:val="480" w:hRule="atLeast"/>
        </w:trPr>
        <w:tc>
          <w:tcPr>
            <w:tcW w:w="57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sz w:val="18"/>
                <w:szCs w:val="18"/>
                <w:lang w:bidi="ar"/>
              </w:rPr>
              <w:t>序号</w:t>
            </w:r>
          </w:p>
        </w:tc>
        <w:tc>
          <w:tcPr>
            <w:tcW w:w="1125"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sz w:val="18"/>
                <w:szCs w:val="18"/>
                <w:lang w:bidi="ar"/>
              </w:rPr>
              <w:t>设备名称</w:t>
            </w:r>
          </w:p>
        </w:tc>
        <w:tc>
          <w:tcPr>
            <w:tcW w:w="95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sz w:val="18"/>
                <w:szCs w:val="18"/>
                <w:lang w:bidi="ar"/>
              </w:rPr>
              <w:t>品牌及型号</w:t>
            </w:r>
          </w:p>
        </w:tc>
        <w:tc>
          <w:tcPr>
            <w:tcW w:w="379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sz w:val="18"/>
                <w:szCs w:val="18"/>
                <w:lang w:bidi="ar"/>
              </w:rPr>
              <w:t>设备参数或技术指标</w:t>
            </w:r>
          </w:p>
        </w:tc>
        <w:tc>
          <w:tcPr>
            <w:tcW w:w="107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新宋体" w:hAnsi="新宋体" w:eastAsia="新宋体" w:cs="新宋体"/>
                <w:b/>
                <w:bCs/>
                <w:color w:val="000000"/>
                <w:sz w:val="18"/>
                <w:szCs w:val="18"/>
              </w:rPr>
            </w:pPr>
            <w:r>
              <w:rPr>
                <w:rFonts w:hint="eastAsia" w:ascii="新宋体" w:hAnsi="新宋体" w:eastAsia="新宋体" w:cs="新宋体"/>
                <w:b/>
                <w:bCs/>
                <w:color w:val="000000"/>
                <w:sz w:val="18"/>
                <w:szCs w:val="18"/>
                <w:lang w:bidi="ar"/>
              </w:rPr>
              <w:t>单位</w:t>
            </w:r>
          </w:p>
        </w:tc>
        <w:tc>
          <w:tcPr>
            <w:tcW w:w="83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新宋体" w:hAnsi="新宋体" w:eastAsia="新宋体" w:cs="新宋体"/>
                <w:b/>
                <w:bCs/>
                <w:color w:val="000000"/>
                <w:sz w:val="18"/>
                <w:szCs w:val="18"/>
              </w:rPr>
            </w:pPr>
            <w:r>
              <w:rPr>
                <w:rFonts w:hint="eastAsia" w:ascii="新宋体" w:hAnsi="新宋体" w:eastAsia="新宋体" w:cs="新宋体"/>
                <w:b/>
                <w:bCs/>
                <w:color w:val="000000"/>
                <w:sz w:val="18"/>
                <w:szCs w:val="18"/>
                <w:lang w:bidi="ar"/>
              </w:rPr>
              <w:t>数量</w:t>
            </w:r>
          </w:p>
        </w:tc>
        <w:tc>
          <w:tcPr>
            <w:tcW w:w="92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新宋体" w:hAnsi="新宋体" w:eastAsia="新宋体" w:cs="新宋体"/>
                <w:b/>
                <w:bCs/>
                <w:color w:val="000000"/>
                <w:sz w:val="18"/>
                <w:szCs w:val="18"/>
              </w:rPr>
            </w:pPr>
            <w:r>
              <w:rPr>
                <w:rFonts w:hint="eastAsia" w:ascii="新宋体" w:hAnsi="新宋体" w:eastAsia="新宋体" w:cs="新宋体"/>
                <w:b/>
                <w:bCs/>
                <w:color w:val="000000"/>
                <w:sz w:val="18"/>
                <w:szCs w:val="18"/>
                <w:lang w:bidi="ar"/>
              </w:rPr>
              <w:t>备注</w:t>
            </w:r>
          </w:p>
        </w:tc>
      </w:tr>
      <w:tr>
        <w:tblPrEx>
          <w:tblCellMar>
            <w:top w:w="0" w:type="dxa"/>
            <w:left w:w="108" w:type="dxa"/>
            <w:bottom w:w="0" w:type="dxa"/>
            <w:right w:w="108" w:type="dxa"/>
          </w:tblCellMar>
        </w:tblPrEx>
        <w:trPr>
          <w:trHeight w:val="1384" w:hRule="atLeast"/>
        </w:trPr>
        <w:tc>
          <w:tcPr>
            <w:tcW w:w="57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一卡通基础服务平台</w:t>
            </w:r>
          </w:p>
        </w:tc>
        <w:tc>
          <w:tcPr>
            <w:tcW w:w="9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auto"/>
                <w:sz w:val="22"/>
                <w:szCs w:val="22"/>
                <w:lang w:bidi="ar"/>
              </w:rPr>
              <w:t>正元智慧、威尔、泰德</w:t>
            </w:r>
          </w:p>
        </w:tc>
        <w:tc>
          <w:tcPr>
            <w:tcW w:w="3797" w:type="dxa"/>
            <w:tcBorders>
              <w:top w:val="single" w:color="auto" w:sz="4" w:space="0"/>
              <w:left w:val="single" w:color="auto" w:sz="4" w:space="0"/>
              <w:bottom w:val="single" w:color="auto" w:sz="4" w:space="0"/>
              <w:right w:val="single" w:color="auto" w:sz="4" w:space="0"/>
            </w:tcBorders>
            <w:shd w:val="clear" w:color="auto" w:fill="auto"/>
          </w:tcPr>
          <w:p>
            <w:pPr>
              <w:widowControl/>
              <w:jc w:val="left"/>
              <w:textAlignment w:val="center"/>
              <w:rPr>
                <w:rFonts w:cs="宋体" w:asciiTheme="minorEastAsia" w:hAnsiTheme="minorEastAsia" w:eastAsiaTheme="minorEastAsia"/>
                <w:color w:val="000000"/>
              </w:rPr>
            </w:pPr>
            <w:r>
              <w:rPr>
                <w:rFonts w:hint="eastAsia" w:cs="宋体" w:asciiTheme="minorEastAsia" w:hAnsiTheme="minorEastAsia" w:eastAsiaTheme="minorEastAsia"/>
                <w:bCs/>
                <w:color w:val="000000"/>
              </w:rPr>
              <w:t>1、为一卡通各类应用系统提供相应服务，包括电子支付、聚合支付、访问控制、身份识别、转账充值、清分清算、消息处理等服务组件，支持分布式部署。平台支持卡码脸多种认证方式                                                            2、▲要求提供计算机软件著作权登记证书、第三方软件测评机构出具的软件产品登记测试报告。</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新宋体" w:hAnsi="新宋体" w:eastAsia="新宋体" w:cs="新宋体"/>
                <w:color w:val="000000"/>
                <w:sz w:val="16"/>
                <w:szCs w:val="16"/>
              </w:rPr>
            </w:pPr>
            <w:r>
              <w:rPr>
                <w:rFonts w:hint="eastAsia" w:ascii="新宋体" w:hAnsi="新宋体" w:eastAsia="新宋体" w:cs="新宋体"/>
                <w:color w:val="000000"/>
                <w:sz w:val="16"/>
                <w:szCs w:val="16"/>
                <w:lang w:bidi="ar"/>
              </w:rPr>
              <w:t>套</w:t>
            </w:r>
          </w:p>
        </w:tc>
        <w:tc>
          <w:tcPr>
            <w:tcW w:w="8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新宋体" w:hAnsi="新宋体" w:eastAsia="新宋体" w:cs="新宋体"/>
                <w:color w:val="000000"/>
                <w:sz w:val="16"/>
                <w:szCs w:val="16"/>
              </w:rPr>
            </w:pPr>
            <w:r>
              <w:rPr>
                <w:rFonts w:hint="eastAsia" w:ascii="新宋体" w:hAnsi="新宋体" w:eastAsia="新宋体" w:cs="新宋体"/>
                <w:color w:val="000000"/>
                <w:sz w:val="16"/>
                <w:szCs w:val="16"/>
                <w:lang w:bidi="ar"/>
              </w:rPr>
              <w:t>1</w:t>
            </w:r>
          </w:p>
        </w:tc>
        <w:tc>
          <w:tcPr>
            <w:tcW w:w="926"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hAnsi="新宋体" w:eastAsia="新宋体" w:cs="新宋体"/>
                <w:color w:val="000000"/>
                <w:sz w:val="18"/>
                <w:szCs w:val="18"/>
              </w:rPr>
            </w:pPr>
          </w:p>
        </w:tc>
      </w:tr>
      <w:tr>
        <w:tblPrEx>
          <w:tblCellMar>
            <w:top w:w="0" w:type="dxa"/>
            <w:left w:w="108" w:type="dxa"/>
            <w:bottom w:w="0" w:type="dxa"/>
            <w:right w:w="108" w:type="dxa"/>
          </w:tblCellMar>
        </w:tblPrEx>
        <w:trPr>
          <w:trHeight w:val="1384" w:hRule="atLeast"/>
        </w:trPr>
        <w:tc>
          <w:tcPr>
            <w:tcW w:w="57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2</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2"/>
                <w:szCs w:val="22"/>
                <w:lang w:bidi="ar"/>
              </w:rPr>
            </w:pPr>
            <w:r>
              <w:rPr>
                <w:rFonts w:hint="eastAsia" w:ascii="宋体" w:hAnsi="宋体" w:cs="宋体"/>
                <w:color w:val="000000"/>
                <w:sz w:val="22"/>
                <w:szCs w:val="22"/>
                <w:lang w:bidi="ar"/>
              </w:rPr>
              <w:t>商务消费系统</w:t>
            </w:r>
          </w:p>
        </w:tc>
        <w:tc>
          <w:tcPr>
            <w:tcW w:w="9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2"/>
                <w:szCs w:val="22"/>
                <w:lang w:bidi="ar"/>
              </w:rPr>
            </w:pPr>
            <w:r>
              <w:rPr>
                <w:rFonts w:hint="eastAsia" w:ascii="宋体" w:hAnsi="宋体" w:cs="宋体"/>
                <w:color w:val="auto"/>
                <w:sz w:val="22"/>
                <w:szCs w:val="22"/>
                <w:lang w:bidi="ar"/>
              </w:rPr>
              <w:t>正元智慧、威尔、泰德</w:t>
            </w:r>
          </w:p>
        </w:tc>
        <w:tc>
          <w:tcPr>
            <w:tcW w:w="37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商务消费系统实现对食堂、超市、商户等场所使用的POS机进行统一管理。持卡人可使用卡在POS机上实现快速支付交易，要求系统可同时支持电子卡和人脸识别的应用。具体应用包括食堂餐饮、超市购物等各种费用的收取和结算。</w:t>
            </w:r>
          </w:p>
          <w:p>
            <w:pPr>
              <w:widowControl/>
              <w:spacing w:line="360" w:lineRule="auto"/>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 xml:space="preserve">    系统应包含但不限于以下要求：</w:t>
            </w:r>
          </w:p>
          <w:p>
            <w:pPr>
              <w:widowControl/>
              <w:spacing w:line="360" w:lineRule="auto"/>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(1)</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系统支持实体卡、电子卡扫码支付和人脸识别支付。</w:t>
            </w:r>
          </w:p>
          <w:p>
            <w:pPr>
              <w:widowControl/>
              <w:spacing w:line="360" w:lineRule="auto"/>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(2)</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在使用电子卡支付时，POS机应支持联机、脱机交易使用功能。</w:t>
            </w:r>
          </w:p>
          <w:p>
            <w:pPr>
              <w:widowControl/>
              <w:spacing w:line="360" w:lineRule="auto"/>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(3)</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网络正常情况下，系统黑白名单等信息能够及时下发。</w:t>
            </w:r>
          </w:p>
          <w:p>
            <w:pPr>
              <w:widowControl/>
              <w:spacing w:line="360" w:lineRule="auto"/>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(4)</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支持实时同步信息，可根据身份设定消费范围。</w:t>
            </w:r>
          </w:p>
          <w:p>
            <w:pPr>
              <w:widowControl/>
              <w:spacing w:line="360" w:lineRule="auto"/>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(5)</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支持多种消费方式，支持价格定制，支持单项最高限额（单日和单次）。</w:t>
            </w:r>
          </w:p>
          <w:p>
            <w:pPr>
              <w:widowControl/>
              <w:spacing w:line="360" w:lineRule="auto"/>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(6)</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支持日、月、年、某一时段的报表处理，支持查询各食堂当餐、当天的收入情况，支持查询消费者当天、每月、每年的消费情况，支持查询就餐人数等情况。</w:t>
            </w:r>
          </w:p>
          <w:p>
            <w:pPr>
              <w:widowControl/>
              <w:spacing w:line="360" w:lineRule="auto"/>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(7)</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支持对POS机餐次、营业分组、消费级别等营业参数的设置。</w:t>
            </w:r>
          </w:p>
          <w:p>
            <w:pPr>
              <w:widowControl/>
              <w:spacing w:line="360" w:lineRule="auto"/>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(8)</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可以根据不同消费对象，设置不同优惠策略；包括但不限于交易钱包、优惠周期、营业时段、优惠模式（支持折扣定额、定额优惠、定额消费、免费等模式）、优惠额度、优惠限次、优惠次数及优惠限额。</w:t>
            </w:r>
          </w:p>
          <w:p>
            <w:pPr>
              <w:widowControl/>
              <w:spacing w:line="360" w:lineRule="auto"/>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(9)</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支持电子券的发送和核销。</w:t>
            </w:r>
          </w:p>
          <w:p>
            <w:pPr>
              <w:widowControl/>
              <w:spacing w:line="360" w:lineRule="auto"/>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(10)</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支持实时同步名单，下传到POS机。</w:t>
            </w:r>
          </w:p>
          <w:p>
            <w:pPr>
              <w:widowControl/>
              <w:jc w:val="left"/>
              <w:textAlignment w:val="center"/>
              <w:rPr>
                <w:rFonts w:cs="宋体" w:asciiTheme="minorEastAsia" w:hAnsiTheme="minorEastAsia" w:eastAsiaTheme="minorEastAsia"/>
                <w:color w:val="000000"/>
              </w:rPr>
            </w:pPr>
            <w:r>
              <w:rPr>
                <w:rFonts w:hint="eastAsia" w:cs="宋体" w:asciiTheme="minorEastAsia" w:hAnsiTheme="minorEastAsia" w:eastAsiaTheme="minorEastAsia"/>
                <w:bCs/>
                <w:color w:val="000000"/>
              </w:rPr>
              <w:t>(1</w:t>
            </w:r>
            <w:r>
              <w:rPr>
                <w:rFonts w:cs="宋体" w:asciiTheme="minorEastAsia" w:hAnsiTheme="minorEastAsia" w:eastAsiaTheme="minorEastAsia"/>
                <w:bCs/>
                <w:color w:val="000000"/>
              </w:rPr>
              <w:t>1</w:t>
            </w:r>
            <w:r>
              <w:rPr>
                <w:rFonts w:hint="eastAsia" w:cs="宋体" w:asciiTheme="minorEastAsia" w:hAnsiTheme="minorEastAsia" w:eastAsiaTheme="minorEastAsia"/>
                <w:bCs/>
                <w:color w:val="000000"/>
              </w:rPr>
              <w:t>)</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▲商务收费系统必须具有未来定制开发能力，同时为避免未来因知识产权引起纠纷，要求投标供应商提供商务收费系统具有计算机软件著作权登记证书及软件产品证书。</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新宋体" w:hAnsi="新宋体" w:eastAsia="新宋体" w:cs="新宋体"/>
                <w:color w:val="000000"/>
                <w:sz w:val="16"/>
                <w:szCs w:val="16"/>
                <w:lang w:bidi="ar"/>
              </w:rPr>
            </w:pPr>
            <w:r>
              <w:rPr>
                <w:rFonts w:hint="eastAsia" w:ascii="新宋体" w:hAnsi="新宋体" w:eastAsia="新宋体" w:cs="新宋体"/>
                <w:color w:val="000000"/>
                <w:sz w:val="16"/>
                <w:szCs w:val="16"/>
                <w:lang w:bidi="ar"/>
              </w:rPr>
              <w:t>套</w:t>
            </w:r>
          </w:p>
        </w:tc>
        <w:tc>
          <w:tcPr>
            <w:tcW w:w="8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新宋体" w:hAnsi="新宋体" w:eastAsia="新宋体" w:cs="新宋体"/>
                <w:color w:val="000000"/>
                <w:sz w:val="16"/>
                <w:szCs w:val="16"/>
                <w:lang w:bidi="ar"/>
              </w:rPr>
            </w:pPr>
            <w:r>
              <w:rPr>
                <w:rFonts w:hint="eastAsia" w:ascii="新宋体" w:hAnsi="新宋体" w:eastAsia="新宋体" w:cs="新宋体"/>
                <w:color w:val="000000"/>
                <w:sz w:val="16"/>
                <w:szCs w:val="16"/>
                <w:lang w:bidi="ar"/>
              </w:rPr>
              <w:t>1</w:t>
            </w:r>
          </w:p>
        </w:tc>
        <w:tc>
          <w:tcPr>
            <w:tcW w:w="926"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hAnsi="新宋体" w:eastAsia="新宋体" w:cs="新宋体"/>
                <w:color w:val="000000"/>
                <w:sz w:val="18"/>
                <w:szCs w:val="18"/>
              </w:rPr>
            </w:pPr>
          </w:p>
        </w:tc>
      </w:tr>
      <w:tr>
        <w:tblPrEx>
          <w:tblCellMar>
            <w:top w:w="0" w:type="dxa"/>
            <w:left w:w="108" w:type="dxa"/>
            <w:bottom w:w="0" w:type="dxa"/>
            <w:right w:w="108" w:type="dxa"/>
          </w:tblCellMar>
        </w:tblPrEx>
        <w:trPr>
          <w:trHeight w:val="90" w:hRule="atLeast"/>
        </w:trPr>
        <w:tc>
          <w:tcPr>
            <w:tcW w:w="57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lang w:bidi="ar"/>
              </w:rPr>
              <w:t>3</w:t>
            </w:r>
          </w:p>
        </w:tc>
        <w:tc>
          <w:tcPr>
            <w:tcW w:w="11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智付终端</w:t>
            </w:r>
          </w:p>
        </w:tc>
        <w:tc>
          <w:tcPr>
            <w:tcW w:w="98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auto"/>
                <w:sz w:val="22"/>
                <w:szCs w:val="22"/>
                <w:lang w:bidi="ar"/>
              </w:rPr>
              <w:t>正元智慧、威尔、泰德</w:t>
            </w:r>
          </w:p>
        </w:tc>
        <w:tc>
          <w:tcPr>
            <w:tcW w:w="37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(1)</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显示屏尺寸要求</w:t>
            </w:r>
          </w:p>
          <w:p>
            <w:pPr>
              <w:widowControl/>
              <w:jc w:val="left"/>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消费者端屏幕尺寸≥7英寸，分辨率≥1024*600，且支持电容触摸；</w:t>
            </w:r>
          </w:p>
          <w:p>
            <w:pPr>
              <w:widowControl/>
              <w:jc w:val="left"/>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结算端屏幕尺寸≥5英寸，分辨率≥ 854*480；</w:t>
            </w:r>
          </w:p>
          <w:p>
            <w:pPr>
              <w:widowControl/>
              <w:jc w:val="left"/>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(2)</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操作员键盘为机械按键、密码键盘为触摸按键</w:t>
            </w:r>
          </w:p>
          <w:p>
            <w:pPr>
              <w:widowControl/>
              <w:jc w:val="left"/>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(3)</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通讯方式支持RS-485，TCP/IP，可选GRRS，CDMA、4G全网通、Wifi</w:t>
            </w:r>
          </w:p>
          <w:p>
            <w:pPr>
              <w:widowControl/>
              <w:jc w:val="left"/>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(4)</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▲考虑设备通信技术的快速迭代，通讯方式需要支持5G通讯；（提供检测报告复印件加盖投标人公章，原件备查）。</w:t>
            </w:r>
          </w:p>
          <w:p>
            <w:pPr>
              <w:widowControl/>
              <w:jc w:val="left"/>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(5)</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可支持微信、支付宝、银联等原生支付码进行支付。</w:t>
            </w:r>
          </w:p>
          <w:p>
            <w:pPr>
              <w:widowControl/>
              <w:jc w:val="left"/>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(6)</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可支持消费POS机存储10W的人脸身份信息。</w:t>
            </w:r>
          </w:p>
          <w:p>
            <w:pPr>
              <w:widowControl/>
              <w:jc w:val="left"/>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(7)</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需具备3D结构光摄像头。</w:t>
            </w:r>
          </w:p>
          <w:p>
            <w:pPr>
              <w:widowControl/>
              <w:jc w:val="left"/>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(8)</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单台脱机流水存储≥10万笔，黑白名单≥30万。</w:t>
            </w:r>
          </w:p>
          <w:p>
            <w:pPr>
              <w:widowControl/>
              <w:jc w:val="left"/>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(9)</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支持数字人民币支付</w:t>
            </w:r>
          </w:p>
          <w:p>
            <w:pPr>
              <w:widowControl/>
              <w:jc w:val="left"/>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(10)</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终端机具先授权后使用，以太网设备支持动态IP地址管理模式，动态IP地址管理模式时，使用规划的DHCP动态IP地址接入签到，减少网络IP地址管理的负担。</w:t>
            </w:r>
          </w:p>
          <w:p>
            <w:pPr>
              <w:widowControl/>
              <w:jc w:val="left"/>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(11)</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支持能耗控制，通过光电人体感应实现自动节能管理</w:t>
            </w:r>
          </w:p>
          <w:p>
            <w:pPr>
              <w:widowControl/>
              <w:jc w:val="left"/>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(12)</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支持POE供电功能，兼容802.3at和802.3af POE协议，终端采用板载一体化、标准化POE模块，带防雷功能，不能采用外置POE分离器模块的方式。</w:t>
            </w:r>
          </w:p>
          <w:p>
            <w:pPr>
              <w:widowControl/>
              <w:jc w:val="left"/>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(13)</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支持断电数据保护。</w:t>
            </w:r>
          </w:p>
          <w:p>
            <w:pPr>
              <w:widowControl/>
              <w:jc w:val="left"/>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(14)</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消费POS机具有脱网工作能力，网络恢复后能保证最新数据的一致性；有较大存储容量，黑白名单处理策略先进合理，能满足实际需求。</w:t>
            </w:r>
          </w:p>
          <w:p>
            <w:pPr>
              <w:widowControl/>
              <w:jc w:val="left"/>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(15)</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消费POS机应用程序采用在线升级，维护升级简便。</w:t>
            </w:r>
          </w:p>
          <w:p>
            <w:pPr>
              <w:widowControl/>
              <w:jc w:val="left"/>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(16)</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POS应带有四个以上PSAM卡槽，便于后续应用扩展。</w:t>
            </w:r>
          </w:p>
          <w:p>
            <w:pPr>
              <w:widowControl/>
              <w:jc w:val="left"/>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(17)</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取得CQC认证（提供证书复印件加盖投标人公章，证书型号与产品对应）</w:t>
            </w:r>
          </w:p>
          <w:p>
            <w:pPr>
              <w:widowControl/>
              <w:jc w:val="left"/>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(18)</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▲通过国家相关质量监督检验中心的盐雾、阻燃及全按键次数50万次检测（提供检测报告复印件加盖投标人公章）</w:t>
            </w:r>
          </w:p>
          <w:p>
            <w:pPr>
              <w:widowControl/>
              <w:jc w:val="left"/>
              <w:textAlignment w:val="center"/>
              <w:rPr>
                <w:rFonts w:cs="宋体" w:asciiTheme="minorEastAsia" w:hAnsiTheme="minorEastAsia" w:eastAsiaTheme="minorEastAsia"/>
                <w:color w:val="000000"/>
              </w:rPr>
            </w:pPr>
            <w:r>
              <w:rPr>
                <w:rFonts w:hint="eastAsia" w:cs="宋体" w:asciiTheme="minorEastAsia" w:hAnsiTheme="minorEastAsia" w:eastAsiaTheme="minorEastAsia"/>
                <w:bCs/>
                <w:color w:val="000000"/>
              </w:rPr>
              <w:t>(19)</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消费POS机备能够适应食堂潮湿、油腻且存在各类的干扰情况的环境，并通过各种环境模拟检测，取得检测报告，检测内容包含高温、低温、恒电湿热试验、震动试验、跌落、阻燃试验、盐雾试验、节能待机、电源端骚扰电压、辐射骚扰、静电放电抗扰度、电快速瞬变脉冲群抗扰度、浪涌（冲击）抗扰度等的测试内容。（提供检测报告复印件加盖投标人公章）</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新宋体" w:hAnsi="新宋体" w:eastAsia="新宋体" w:cs="新宋体"/>
                <w:color w:val="000000"/>
                <w:sz w:val="16"/>
                <w:szCs w:val="16"/>
              </w:rPr>
            </w:pPr>
            <w:r>
              <w:rPr>
                <w:rFonts w:hint="eastAsia" w:ascii="新宋体" w:hAnsi="新宋体" w:eastAsia="新宋体" w:cs="新宋体"/>
                <w:color w:val="000000"/>
                <w:sz w:val="16"/>
                <w:szCs w:val="16"/>
                <w:lang w:bidi="ar"/>
              </w:rPr>
              <w:t>台</w:t>
            </w:r>
          </w:p>
        </w:tc>
        <w:tc>
          <w:tcPr>
            <w:tcW w:w="8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新宋体" w:hAnsi="新宋体" w:eastAsia="新宋体" w:cs="新宋体"/>
                <w:color w:val="000000"/>
                <w:sz w:val="16"/>
                <w:szCs w:val="16"/>
              </w:rPr>
            </w:pPr>
            <w:r>
              <w:rPr>
                <w:rFonts w:hint="eastAsia" w:ascii="新宋体" w:hAnsi="新宋体" w:eastAsia="新宋体" w:cs="新宋体"/>
                <w:color w:val="000000"/>
                <w:sz w:val="16"/>
                <w:szCs w:val="16"/>
                <w:lang w:bidi="ar"/>
              </w:rPr>
              <w:t>2</w:t>
            </w: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sz w:val="18"/>
                <w:szCs w:val="18"/>
                <w:lang w:bidi="ar"/>
              </w:rPr>
              <w:t>超市一台，备用一台</w:t>
            </w:r>
          </w:p>
        </w:tc>
      </w:tr>
      <w:tr>
        <w:tblPrEx>
          <w:tblCellMar>
            <w:top w:w="0" w:type="dxa"/>
            <w:left w:w="108" w:type="dxa"/>
            <w:bottom w:w="0" w:type="dxa"/>
            <w:right w:w="108" w:type="dxa"/>
          </w:tblCellMar>
        </w:tblPrEx>
        <w:trPr>
          <w:trHeight w:val="1050" w:hRule="atLeast"/>
        </w:trPr>
        <w:tc>
          <w:tcPr>
            <w:tcW w:w="57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lang w:bidi="ar"/>
              </w:rPr>
              <w:t>4</w:t>
            </w:r>
          </w:p>
        </w:tc>
        <w:tc>
          <w:tcPr>
            <w:tcW w:w="11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sz w:val="22"/>
                <w:szCs w:val="22"/>
                <w:lang w:bidi="ar"/>
              </w:rPr>
              <w:t>读卡器</w:t>
            </w:r>
          </w:p>
        </w:tc>
        <w:tc>
          <w:tcPr>
            <w:tcW w:w="98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sz w:val="22"/>
                <w:szCs w:val="22"/>
                <w:lang w:bidi="ar"/>
              </w:rPr>
              <w:t>正元智慧、威尔、泰德</w:t>
            </w:r>
          </w:p>
        </w:tc>
        <w:tc>
          <w:tcPr>
            <w:tcW w:w="37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color w:val="000000"/>
              </w:rPr>
            </w:pPr>
            <w:r>
              <w:rPr>
                <w:rFonts w:hint="eastAsia" w:cs="宋体" w:asciiTheme="minorEastAsia" w:hAnsiTheme="minorEastAsia" w:eastAsiaTheme="minorEastAsia"/>
                <w:bCs/>
                <w:color w:val="000000"/>
              </w:rPr>
              <w:t xml:space="preserve">1、支持13.56MHz非接触式卡片，符合ISO/IEC 14443A/B标准， 0.96英寸OLED屏显示，可显示卡号，持卡人身份、卡片余额等信息， 支持标准字库显示，通讯接口USB，支持1个符合IS07816标准卡尺寸 </w:t>
            </w:r>
            <w:r>
              <w:rPr>
                <w:rFonts w:cs="宋体" w:asciiTheme="minorEastAsia" w:hAnsiTheme="minorEastAsia" w:eastAsiaTheme="minorEastAsia"/>
                <w:bCs/>
                <w:color w:val="000000"/>
              </w:rPr>
              <w:t xml:space="preserve">        </w:t>
            </w:r>
            <w:r>
              <w:rPr>
                <w:rFonts w:hint="eastAsia" w:cs="宋体" w:asciiTheme="minorEastAsia" w:hAnsiTheme="minorEastAsia" w:eastAsiaTheme="minorEastAsia"/>
                <w:bCs/>
                <w:color w:val="000000"/>
              </w:rPr>
              <w:t xml:space="preserve">     </w:t>
            </w:r>
            <w:r>
              <w:rPr>
                <w:rFonts w:cs="宋体" w:asciiTheme="minorEastAsia" w:hAnsiTheme="minorEastAsia" w:eastAsiaTheme="minorEastAsia"/>
                <w:bCs/>
                <w:color w:val="000000"/>
              </w:rPr>
              <w:t xml:space="preserve">                              </w:t>
            </w:r>
            <w:r>
              <w:rPr>
                <w:rFonts w:hint="eastAsia" w:cs="宋体" w:asciiTheme="minorEastAsia" w:hAnsiTheme="minorEastAsia" w:eastAsiaTheme="minorEastAsia"/>
                <w:bCs/>
                <w:color w:val="000000"/>
              </w:rPr>
              <w:t xml:space="preserve">  </w:t>
            </w:r>
            <w:r>
              <w:rPr>
                <w:rFonts w:cs="宋体" w:asciiTheme="minorEastAsia" w:hAnsiTheme="minorEastAsia" w:eastAsiaTheme="minorEastAsia"/>
                <w:bCs/>
                <w:color w:val="000000"/>
              </w:rPr>
              <w:t>2</w:t>
            </w:r>
            <w:r>
              <w:rPr>
                <w:rFonts w:hint="eastAsia" w:cs="宋体" w:asciiTheme="minorEastAsia" w:hAnsiTheme="minorEastAsia" w:eastAsiaTheme="minorEastAsia"/>
                <w:bCs/>
                <w:color w:val="000000"/>
              </w:rPr>
              <w:t>、提供CQC产品认证证书</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新宋体" w:hAnsi="新宋体" w:eastAsia="新宋体" w:cs="新宋体"/>
                <w:color w:val="000000"/>
                <w:sz w:val="16"/>
                <w:szCs w:val="16"/>
              </w:rPr>
            </w:pPr>
            <w:r>
              <w:rPr>
                <w:rFonts w:hint="eastAsia" w:ascii="新宋体" w:hAnsi="新宋体" w:eastAsia="新宋体" w:cs="新宋体"/>
                <w:color w:val="000000"/>
                <w:sz w:val="16"/>
                <w:szCs w:val="16"/>
                <w:lang w:bidi="ar"/>
              </w:rPr>
              <w:t>台</w:t>
            </w:r>
          </w:p>
        </w:tc>
        <w:tc>
          <w:tcPr>
            <w:tcW w:w="8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新宋体" w:hAnsi="新宋体" w:eastAsia="新宋体" w:cs="新宋体"/>
                <w:color w:val="000000"/>
                <w:sz w:val="16"/>
                <w:szCs w:val="16"/>
              </w:rPr>
            </w:pPr>
            <w:r>
              <w:rPr>
                <w:rFonts w:hint="eastAsia" w:ascii="新宋体" w:hAnsi="新宋体" w:eastAsia="新宋体" w:cs="新宋体"/>
                <w:color w:val="000000"/>
                <w:sz w:val="16"/>
                <w:szCs w:val="16"/>
                <w:lang w:bidi="ar"/>
              </w:rPr>
              <w:t>1</w:t>
            </w:r>
          </w:p>
        </w:tc>
        <w:tc>
          <w:tcPr>
            <w:tcW w:w="926"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hAnsi="新宋体" w:eastAsia="新宋体" w:cs="新宋体"/>
                <w:color w:val="000000"/>
                <w:sz w:val="18"/>
                <w:szCs w:val="18"/>
              </w:rPr>
            </w:pPr>
          </w:p>
        </w:tc>
      </w:tr>
      <w:tr>
        <w:tblPrEx>
          <w:tblCellMar>
            <w:top w:w="0" w:type="dxa"/>
            <w:left w:w="108" w:type="dxa"/>
            <w:bottom w:w="0" w:type="dxa"/>
            <w:right w:w="108" w:type="dxa"/>
          </w:tblCellMar>
        </w:tblPrEx>
        <w:trPr>
          <w:trHeight w:val="1690" w:hRule="atLeast"/>
        </w:trPr>
        <w:tc>
          <w:tcPr>
            <w:tcW w:w="57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lang w:bidi="ar"/>
              </w:rPr>
              <w:t>5</w:t>
            </w:r>
          </w:p>
        </w:tc>
        <w:tc>
          <w:tcPr>
            <w:tcW w:w="11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sz w:val="22"/>
                <w:szCs w:val="22"/>
                <w:lang w:bidi="ar"/>
              </w:rPr>
              <w:t>结算台</w:t>
            </w:r>
          </w:p>
        </w:tc>
        <w:tc>
          <w:tcPr>
            <w:tcW w:w="98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auto"/>
                <w:sz w:val="22"/>
                <w:szCs w:val="22"/>
                <w:lang w:bidi="ar"/>
              </w:rPr>
              <w:t>正元智慧、威尔、泰德</w:t>
            </w:r>
          </w:p>
        </w:tc>
        <w:tc>
          <w:tcPr>
            <w:tcW w:w="37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 xml:space="preserve">1.可对进入结算台“结算区”的RFID餐盘进行快速、批量识别，就餐者自助完成支付结算；                                              2.内置结算软件，具有收银、餐盘管理和营业统计的功能；               </w:t>
            </w:r>
            <w:r>
              <w:rPr>
                <w:rFonts w:cs="宋体" w:asciiTheme="minorEastAsia" w:hAnsiTheme="minorEastAsia" w:eastAsiaTheme="minorEastAsia"/>
                <w:bCs/>
                <w:color w:val="000000"/>
              </w:rPr>
              <w:t xml:space="preserve">              </w:t>
            </w:r>
            <w:r>
              <w:rPr>
                <w:rFonts w:hint="eastAsia" w:cs="宋体" w:asciiTheme="minorEastAsia" w:hAnsiTheme="minorEastAsia" w:eastAsiaTheme="minorEastAsia"/>
                <w:bCs/>
                <w:color w:val="000000"/>
              </w:rPr>
              <w:t xml:space="preserve">  </w:t>
            </w:r>
            <w:r>
              <w:rPr>
                <w:rFonts w:cs="宋体" w:asciiTheme="minorEastAsia" w:hAnsiTheme="minorEastAsia" w:eastAsiaTheme="minorEastAsia"/>
                <w:bCs/>
                <w:color w:val="000000"/>
              </w:rPr>
              <w:t xml:space="preserve"> </w:t>
            </w:r>
            <w:r>
              <w:rPr>
                <w:rFonts w:hint="eastAsia" w:cs="宋体" w:asciiTheme="minorEastAsia" w:hAnsiTheme="minorEastAsia" w:eastAsiaTheme="minorEastAsia"/>
                <w:bCs/>
                <w:color w:val="000000"/>
              </w:rPr>
              <w:t xml:space="preserve">3.客显屏不低于12.1寸，分辨率1024*768；                              4.辅屏为不低于15寸的电容屏，分辨率1024*768；                     </w:t>
            </w:r>
            <w:r>
              <w:rPr>
                <w:rFonts w:cs="宋体" w:asciiTheme="minorEastAsia" w:hAnsiTheme="minorEastAsia" w:eastAsiaTheme="minorEastAsia"/>
                <w:bCs/>
                <w:color w:val="000000"/>
              </w:rPr>
              <w:t xml:space="preserve">        </w:t>
            </w:r>
            <w:r>
              <w:rPr>
                <w:rFonts w:hint="eastAsia" w:cs="宋体" w:asciiTheme="minorEastAsia" w:hAnsiTheme="minorEastAsia" w:eastAsiaTheme="minorEastAsia"/>
                <w:bCs/>
                <w:color w:val="000000"/>
              </w:rPr>
              <w:t xml:space="preserve">    5.识别距离＜15cm；                                                           6.识别时间＜1秒；                                                            7.群识性能能达20个                                                                                                8.硬盘存储不低于128GB；                                                    9.内存存储不低于4GB；                                                          10.进入“结算区”后，系统自动识别、核算整单菜价                       </w:t>
            </w:r>
            <w:r>
              <w:rPr>
                <w:rFonts w:cs="宋体" w:asciiTheme="minorEastAsia" w:hAnsiTheme="minorEastAsia" w:eastAsiaTheme="minorEastAsia"/>
                <w:bCs/>
                <w:color w:val="000000"/>
              </w:rPr>
              <w:t xml:space="preserve">               </w:t>
            </w:r>
            <w:r>
              <w:rPr>
                <w:rFonts w:hint="eastAsia" w:cs="宋体" w:asciiTheme="minorEastAsia" w:hAnsiTheme="minorEastAsia" w:eastAsiaTheme="minorEastAsia"/>
                <w:bCs/>
                <w:color w:val="000000"/>
              </w:rPr>
              <w:t xml:space="preserve"> 11.整机尺寸 1500mm（长）×700mm（宽）×750-950（高）mm     </w:t>
            </w:r>
          </w:p>
          <w:p>
            <w:pPr>
              <w:pStyle w:val="24"/>
              <w:ind w:firstLine="0"/>
              <w:rPr>
                <w:rFonts w:asciiTheme="minorEastAsia" w:hAnsiTheme="minorEastAsia" w:eastAsiaTheme="minorEastAsia"/>
                <w:bCs/>
                <w:color w:val="000000"/>
                <w:sz w:val="20"/>
                <w:szCs w:val="20"/>
              </w:rPr>
            </w:pPr>
            <w:r>
              <w:rPr>
                <w:rFonts w:asciiTheme="minorEastAsia" w:hAnsiTheme="minorEastAsia" w:eastAsiaTheme="minorEastAsia"/>
                <w:bCs/>
                <w:color w:val="000000"/>
                <w:sz w:val="20"/>
                <w:szCs w:val="20"/>
              </w:rPr>
              <w:t>12</w:t>
            </w:r>
            <w:r>
              <w:rPr>
                <w:rFonts w:hint="eastAsia" w:asciiTheme="minorEastAsia" w:hAnsiTheme="minorEastAsia" w:eastAsiaTheme="minorEastAsia"/>
                <w:bCs/>
                <w:color w:val="000000"/>
                <w:sz w:val="20"/>
                <w:szCs w:val="20"/>
              </w:rPr>
              <w:t>、需要在同一台设备上支持卡、码、脸认证方式</w:t>
            </w:r>
          </w:p>
          <w:p>
            <w:pPr>
              <w:pStyle w:val="24"/>
              <w:ind w:firstLine="0"/>
              <w:rPr>
                <w:rFonts w:asciiTheme="minorEastAsia" w:hAnsiTheme="minorEastAsia" w:eastAsiaTheme="minorEastAsia"/>
                <w:bCs/>
                <w:color w:val="000000"/>
                <w:sz w:val="20"/>
                <w:szCs w:val="20"/>
              </w:rPr>
            </w:pPr>
            <w:r>
              <w:rPr>
                <w:rFonts w:hint="eastAsia" w:asciiTheme="minorEastAsia" w:hAnsiTheme="minorEastAsia" w:eastAsiaTheme="minorEastAsia"/>
                <w:bCs/>
                <w:color w:val="000000"/>
                <w:sz w:val="20"/>
                <w:szCs w:val="20"/>
              </w:rPr>
              <w:t>1</w:t>
            </w:r>
            <w:r>
              <w:rPr>
                <w:rFonts w:asciiTheme="minorEastAsia" w:hAnsiTheme="minorEastAsia" w:eastAsiaTheme="minorEastAsia"/>
                <w:bCs/>
                <w:color w:val="000000"/>
                <w:sz w:val="20"/>
                <w:szCs w:val="20"/>
              </w:rPr>
              <w:t>3</w:t>
            </w:r>
            <w:r>
              <w:rPr>
                <w:rFonts w:hint="eastAsia" w:asciiTheme="minorEastAsia" w:hAnsiTheme="minorEastAsia" w:eastAsiaTheme="minorEastAsia"/>
                <w:bCs/>
                <w:color w:val="000000"/>
                <w:sz w:val="20"/>
                <w:szCs w:val="20"/>
              </w:rPr>
              <w:t>、提供硬件检测报告</w:t>
            </w:r>
          </w:p>
          <w:p>
            <w:pPr>
              <w:widowControl/>
              <w:jc w:val="left"/>
              <w:textAlignment w:val="center"/>
              <w:rPr>
                <w:rFonts w:cs="宋体" w:asciiTheme="minorEastAsia" w:hAnsiTheme="minorEastAsia" w:eastAsiaTheme="minorEastAsia"/>
                <w:color w:val="000000"/>
              </w:rPr>
            </w:pPr>
            <w:r>
              <w:rPr>
                <w:rFonts w:hint="eastAsia" w:cs="宋体" w:asciiTheme="minorEastAsia" w:hAnsiTheme="minorEastAsia" w:eastAsiaTheme="minorEastAsia"/>
                <w:bCs/>
                <w:color w:val="000000"/>
              </w:rPr>
              <w:t>1</w:t>
            </w:r>
            <w:r>
              <w:rPr>
                <w:rFonts w:cs="宋体" w:asciiTheme="minorEastAsia" w:hAnsiTheme="minorEastAsia" w:eastAsiaTheme="minorEastAsia"/>
                <w:bCs/>
                <w:color w:val="000000"/>
              </w:rPr>
              <w:t>4</w:t>
            </w:r>
            <w:r>
              <w:rPr>
                <w:rFonts w:hint="eastAsia" w:cs="宋体" w:asciiTheme="minorEastAsia" w:hAnsiTheme="minorEastAsia" w:eastAsiaTheme="minorEastAsia"/>
                <w:bCs/>
                <w:color w:val="000000"/>
              </w:rPr>
              <w:t>、提供软件著作权登记证书</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新宋体" w:hAnsi="新宋体" w:eastAsia="新宋体" w:cs="新宋体"/>
                <w:color w:val="000000"/>
                <w:sz w:val="16"/>
                <w:szCs w:val="16"/>
              </w:rPr>
            </w:pPr>
            <w:r>
              <w:rPr>
                <w:rFonts w:hint="eastAsia" w:ascii="新宋体" w:hAnsi="新宋体" w:eastAsia="新宋体" w:cs="新宋体"/>
                <w:color w:val="000000"/>
                <w:sz w:val="16"/>
                <w:szCs w:val="16"/>
                <w:lang w:bidi="ar"/>
              </w:rPr>
              <w:t>套</w:t>
            </w:r>
          </w:p>
        </w:tc>
        <w:tc>
          <w:tcPr>
            <w:tcW w:w="8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新宋体" w:hAnsi="新宋体" w:eastAsia="新宋体" w:cs="新宋体"/>
                <w:color w:val="000000"/>
                <w:sz w:val="16"/>
                <w:szCs w:val="16"/>
              </w:rPr>
            </w:pPr>
            <w:r>
              <w:rPr>
                <w:rFonts w:hint="eastAsia" w:ascii="新宋体" w:hAnsi="新宋体" w:eastAsia="新宋体" w:cs="新宋体"/>
                <w:color w:val="000000"/>
                <w:sz w:val="16"/>
                <w:szCs w:val="16"/>
                <w:lang w:bidi="ar"/>
              </w:rPr>
              <w:t>2</w:t>
            </w: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sz w:val="18"/>
                <w:szCs w:val="18"/>
                <w:lang w:bidi="ar"/>
              </w:rPr>
              <w:t>含人脸刷卡终端</w:t>
            </w:r>
          </w:p>
        </w:tc>
      </w:tr>
      <w:tr>
        <w:tblPrEx>
          <w:tblCellMar>
            <w:top w:w="0" w:type="dxa"/>
            <w:left w:w="108" w:type="dxa"/>
            <w:bottom w:w="0" w:type="dxa"/>
            <w:right w:w="108" w:type="dxa"/>
          </w:tblCellMar>
        </w:tblPrEx>
        <w:trPr>
          <w:trHeight w:val="1680" w:hRule="atLeast"/>
        </w:trPr>
        <w:tc>
          <w:tcPr>
            <w:tcW w:w="57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lang w:bidi="ar"/>
              </w:rPr>
              <w:t>6</w:t>
            </w:r>
          </w:p>
        </w:tc>
        <w:tc>
          <w:tcPr>
            <w:tcW w:w="11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sz w:val="22"/>
                <w:szCs w:val="22"/>
                <w:lang w:bidi="ar"/>
              </w:rPr>
              <w:t>正元IC卡</w:t>
            </w:r>
          </w:p>
        </w:tc>
        <w:tc>
          <w:tcPr>
            <w:tcW w:w="98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auto"/>
                <w:sz w:val="22"/>
                <w:szCs w:val="22"/>
                <w:lang w:bidi="ar"/>
              </w:rPr>
              <w:t>正元智慧、威尔、泰德</w:t>
            </w:r>
          </w:p>
        </w:tc>
        <w:tc>
          <w:tcPr>
            <w:tcW w:w="37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color w:val="000000"/>
              </w:rPr>
            </w:pPr>
            <w:r>
              <w:rPr>
                <w:rFonts w:hint="eastAsia" w:cs="宋体" w:asciiTheme="minorEastAsia" w:hAnsiTheme="minorEastAsia" w:eastAsiaTheme="minorEastAsia"/>
                <w:color w:val="000000"/>
              </w:rPr>
              <w:t xml:space="preserve">1、容量为8K位EEPROM；分为16个扇区，每个扇区为4块，每块16个字节,每个扇区有独立的一组密码及访问控制；每张卡有唯一序列号，为32位；具有防冲突机制，数据保存期为10年，可改写10万次，读无限次；工作温度：-20℃~50℃(湿度为90%)；工作频率：13.56MHZ；通信速率：106KBPS；读写距离2.5-10cm              </w:t>
            </w:r>
            <w:r>
              <w:rPr>
                <w:rFonts w:cs="宋体" w:asciiTheme="minorEastAsia" w:hAnsiTheme="minorEastAsia" w:eastAsiaTheme="minorEastAsia"/>
                <w:color w:val="000000"/>
              </w:rPr>
              <w:t xml:space="preserve">   </w:t>
            </w:r>
            <w:r>
              <w:rPr>
                <w:rFonts w:hint="eastAsia" w:cs="宋体" w:asciiTheme="minorEastAsia" w:hAnsiTheme="minorEastAsia" w:eastAsiaTheme="minorEastAsia"/>
                <w:color w:val="000000"/>
              </w:rPr>
              <w:t xml:space="preserve">  ▲2、提供C卡嵌入式软件（卡片操作系统）的软件著作权登记证书</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新宋体" w:hAnsi="新宋体" w:eastAsia="新宋体" w:cs="新宋体"/>
                <w:color w:val="000000"/>
                <w:sz w:val="16"/>
                <w:szCs w:val="16"/>
              </w:rPr>
            </w:pPr>
            <w:r>
              <w:rPr>
                <w:rFonts w:hint="eastAsia" w:ascii="新宋体" w:hAnsi="新宋体" w:eastAsia="新宋体" w:cs="新宋体"/>
                <w:color w:val="000000"/>
                <w:sz w:val="16"/>
                <w:szCs w:val="16"/>
                <w:lang w:bidi="ar"/>
              </w:rPr>
              <w:t>张</w:t>
            </w:r>
          </w:p>
        </w:tc>
        <w:tc>
          <w:tcPr>
            <w:tcW w:w="8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新宋体" w:hAnsi="新宋体" w:eastAsia="新宋体" w:cs="新宋体"/>
                <w:color w:val="000000"/>
                <w:sz w:val="16"/>
                <w:szCs w:val="16"/>
              </w:rPr>
            </w:pPr>
            <w:r>
              <w:rPr>
                <w:rFonts w:hint="eastAsia" w:ascii="新宋体" w:hAnsi="新宋体" w:eastAsia="新宋体" w:cs="新宋体"/>
                <w:color w:val="000000"/>
                <w:sz w:val="16"/>
                <w:szCs w:val="16"/>
                <w:lang w:bidi="ar"/>
              </w:rPr>
              <w:t>200</w:t>
            </w:r>
          </w:p>
        </w:tc>
        <w:tc>
          <w:tcPr>
            <w:tcW w:w="926"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hAnsi="新宋体" w:eastAsia="新宋体" w:cs="新宋体"/>
                <w:color w:val="000000"/>
                <w:sz w:val="18"/>
                <w:szCs w:val="18"/>
              </w:rPr>
            </w:pPr>
          </w:p>
        </w:tc>
      </w:tr>
      <w:tr>
        <w:tblPrEx>
          <w:tblCellMar>
            <w:top w:w="0" w:type="dxa"/>
            <w:left w:w="108" w:type="dxa"/>
            <w:bottom w:w="0" w:type="dxa"/>
            <w:right w:w="108" w:type="dxa"/>
          </w:tblCellMar>
        </w:tblPrEx>
        <w:trPr>
          <w:trHeight w:val="2020" w:hRule="atLeast"/>
        </w:trPr>
        <w:tc>
          <w:tcPr>
            <w:tcW w:w="57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lang w:bidi="ar"/>
              </w:rPr>
              <w:t>7</w:t>
            </w:r>
          </w:p>
        </w:tc>
        <w:tc>
          <w:tcPr>
            <w:tcW w:w="11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 w:val="22"/>
                <w:szCs w:val="22"/>
              </w:rPr>
            </w:pPr>
            <w:r>
              <w:rPr>
                <w:rFonts w:hint="eastAsia" w:ascii="宋体" w:hAnsi="宋体" w:cs="宋体"/>
                <w:color w:val="auto"/>
                <w:sz w:val="22"/>
                <w:szCs w:val="22"/>
                <w:lang w:bidi="ar"/>
              </w:rPr>
              <w:t>智通终端</w:t>
            </w:r>
          </w:p>
        </w:tc>
        <w:tc>
          <w:tcPr>
            <w:tcW w:w="98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auto"/>
                <w:sz w:val="22"/>
                <w:szCs w:val="22"/>
                <w:lang w:bidi="ar"/>
              </w:rPr>
              <w:t>正元智慧、威尔、泰德</w:t>
            </w:r>
          </w:p>
        </w:tc>
        <w:tc>
          <w:tcPr>
            <w:tcW w:w="37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(1)</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支持13.56MHz非接触式卡片，符合ISO/ICE 14443A/B标准</w:t>
            </w:r>
          </w:p>
          <w:p>
            <w:pPr>
              <w:widowControl/>
              <w:jc w:val="left"/>
              <w:textAlignment w:val="center"/>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(2)</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屏幕尺寸要求≥8英寸，分辨率≥800*1280；支持电容触摸，可在设备进行相关功能设置</w:t>
            </w:r>
          </w:p>
          <w:p>
            <w:pPr>
              <w:widowControl/>
              <w:jc w:val="left"/>
              <w:textAlignment w:val="center"/>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(3)</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要求配置双目高清摄像头，支持红外和RGB输出；</w:t>
            </w:r>
          </w:p>
          <w:p>
            <w:pPr>
              <w:widowControl/>
              <w:jc w:val="left"/>
              <w:textAlignment w:val="center"/>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(4)</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要求采用无补光灯设计（提供第三方权威机构检测报告）</w:t>
            </w:r>
          </w:p>
          <w:p>
            <w:pPr>
              <w:widowControl/>
              <w:jc w:val="left"/>
              <w:textAlignment w:val="center"/>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(5)</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要求支持活体检测功能，有效防御照片、电子屏、视频等活体攻击（提供第三方权威机构检测报告）</w:t>
            </w:r>
          </w:p>
          <w:p>
            <w:pPr>
              <w:widowControl/>
              <w:jc w:val="left"/>
              <w:textAlignment w:val="center"/>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(6)</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要求设备终端可存储人脸特征码数量≥10万（提供第三方权威机构检测报告）</w:t>
            </w:r>
          </w:p>
          <w:p>
            <w:pPr>
              <w:widowControl/>
              <w:jc w:val="left"/>
              <w:textAlignment w:val="center"/>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(7)</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人脸识别距离需支持0.5m-2.0m（提供第三方权威机构检测报告）</w:t>
            </w:r>
          </w:p>
          <w:p>
            <w:pPr>
              <w:widowControl/>
              <w:jc w:val="left"/>
              <w:textAlignment w:val="center"/>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(8)</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人脸识别功能需要支持光线亮度不足情况下（环境照度≤0.1lux），能正常识别（提供第三方权威机构检测报告）</w:t>
            </w:r>
          </w:p>
          <w:p>
            <w:pPr>
              <w:widowControl/>
              <w:jc w:val="left"/>
              <w:textAlignment w:val="center"/>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(9)</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要求人脸识别响核验响应速度≤300ms（提供第三方权威机构检测报告）</w:t>
            </w:r>
          </w:p>
          <w:p>
            <w:pPr>
              <w:widowControl/>
              <w:jc w:val="left"/>
              <w:textAlignment w:val="center"/>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(10)</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识别通过率要求：选定误识别率为≤0.3%时为测试阈值，识别通过率应≥98%（提供第三方权威机构检测报告）</w:t>
            </w:r>
          </w:p>
          <w:p>
            <w:pPr>
              <w:widowControl/>
              <w:jc w:val="left"/>
              <w:textAlignment w:val="center"/>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(11)</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要求支持遮挡功能，设备戴口罩识别的错误接受率FAR小于5%情况下，错误拒绝率FRR应小于2%，在戴墨镜、戴帽子、蓄须等遮挡情况下依然保持精准识别（提供第三方权威机构检测报告）</w:t>
            </w:r>
          </w:p>
          <w:p>
            <w:pPr>
              <w:widowControl/>
              <w:jc w:val="left"/>
              <w:textAlignment w:val="center"/>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(12)</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要求设备外壳对外界机械碰撞的防护等级防护等级达到IK07（提供第三方权威机构检测报告）</w:t>
            </w:r>
          </w:p>
          <w:p>
            <w:pPr>
              <w:widowControl/>
              <w:jc w:val="left"/>
              <w:textAlignment w:val="center"/>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(13)</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要求支持设备强拆、强制开门、非活体攻击等异常报警（提供第三方权威机构检测报告）</w:t>
            </w:r>
          </w:p>
          <w:p>
            <w:pPr>
              <w:widowControl/>
              <w:jc w:val="left"/>
              <w:textAlignment w:val="center"/>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(14)</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身份认证后，支持真人语音提示</w:t>
            </w:r>
          </w:p>
          <w:p>
            <w:pPr>
              <w:widowControl/>
              <w:jc w:val="left"/>
              <w:textAlignment w:val="center"/>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(15)</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通讯接口要求支持TCP/IP、RS-485、韦根、RS232；支持WIFI及BLE蓝牙</w:t>
            </w:r>
          </w:p>
          <w:p>
            <w:pPr>
              <w:widowControl/>
              <w:jc w:val="left"/>
              <w:textAlignment w:val="center"/>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(16)</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可支持在室内或半室外的环境下使用；防水等级≥IP66（提供第三方权威机构检测报告）</w:t>
            </w:r>
          </w:p>
          <w:p>
            <w:pPr>
              <w:widowControl/>
              <w:jc w:val="left"/>
              <w:textAlignment w:val="center"/>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(17)</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支持干节点信号输出，即可作为读卡器，也可作为一体机使用</w:t>
            </w:r>
          </w:p>
          <w:p>
            <w:pPr>
              <w:widowControl/>
              <w:jc w:val="left"/>
              <w:textAlignment w:val="center"/>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(18)</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支持U盘升级固件程序、数据下载、记录采集</w:t>
            </w:r>
          </w:p>
          <w:p>
            <w:pPr>
              <w:widowControl/>
              <w:jc w:val="left"/>
              <w:textAlignment w:val="center"/>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(19)</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设备离线情况下，可支持脱机使用，可存储的脱机记的数量≥20万</w:t>
            </w:r>
          </w:p>
          <w:p>
            <w:pPr>
              <w:widowControl/>
              <w:jc w:val="left"/>
              <w:textAlignment w:val="center"/>
              <w:rPr>
                <w:rFonts w:cs="宋体" w:asciiTheme="minorEastAsia" w:hAnsiTheme="minorEastAsia" w:eastAsiaTheme="minorEastAsia"/>
                <w:bCs/>
                <w:color w:val="000000"/>
              </w:rPr>
            </w:pPr>
            <w:r>
              <w:rPr>
                <w:rFonts w:hint="eastAsia" w:cs="宋体" w:asciiTheme="minorEastAsia" w:hAnsiTheme="minorEastAsia" w:eastAsiaTheme="minorEastAsia"/>
                <w:bCs/>
                <w:color w:val="000000"/>
              </w:rPr>
              <w:t>(20)</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▲通过CCC认证（提供产品认证证书复印件加盖投标人公章）</w:t>
            </w:r>
          </w:p>
          <w:p>
            <w:pPr>
              <w:widowControl/>
              <w:jc w:val="left"/>
              <w:textAlignment w:val="center"/>
              <w:rPr>
                <w:rFonts w:cs="宋体" w:asciiTheme="minorEastAsia" w:hAnsiTheme="minorEastAsia" w:eastAsiaTheme="minorEastAsia"/>
                <w:color w:val="000000"/>
              </w:rPr>
            </w:pPr>
            <w:r>
              <w:rPr>
                <w:rFonts w:hint="eastAsia" w:cs="宋体" w:asciiTheme="minorEastAsia" w:hAnsiTheme="minorEastAsia" w:eastAsiaTheme="minorEastAsia"/>
                <w:bCs/>
                <w:color w:val="000000"/>
              </w:rPr>
              <w:t>(21)</w:t>
            </w:r>
            <w:r>
              <w:rPr>
                <w:rFonts w:hint="eastAsia" w:cs="宋体" w:asciiTheme="minorEastAsia" w:hAnsiTheme="minorEastAsia" w:eastAsiaTheme="minorEastAsia"/>
                <w:bCs/>
                <w:color w:val="000000"/>
              </w:rPr>
              <w:tab/>
            </w:r>
            <w:r>
              <w:rPr>
                <w:rFonts w:hint="eastAsia" w:cs="宋体" w:asciiTheme="minorEastAsia" w:hAnsiTheme="minorEastAsia" w:eastAsiaTheme="minorEastAsia"/>
                <w:bCs/>
                <w:color w:val="000000"/>
              </w:rPr>
              <w:t>▲取得中国节能产品认证报告（提供检测报告复印件加盖投标人公章）</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新宋体" w:hAnsi="新宋体" w:eastAsia="新宋体" w:cs="新宋体"/>
                <w:color w:val="000000"/>
                <w:sz w:val="16"/>
                <w:szCs w:val="16"/>
              </w:rPr>
            </w:pPr>
            <w:r>
              <w:rPr>
                <w:rFonts w:hint="eastAsia" w:ascii="新宋体" w:hAnsi="新宋体" w:eastAsia="新宋体" w:cs="新宋体"/>
                <w:color w:val="000000"/>
                <w:sz w:val="16"/>
                <w:szCs w:val="16"/>
                <w:lang w:bidi="ar"/>
              </w:rPr>
              <w:t>台</w:t>
            </w:r>
          </w:p>
        </w:tc>
        <w:tc>
          <w:tcPr>
            <w:tcW w:w="8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新宋体" w:hAnsi="新宋体" w:eastAsia="新宋体" w:cs="新宋体"/>
                <w:color w:val="000000"/>
                <w:sz w:val="16"/>
                <w:szCs w:val="16"/>
              </w:rPr>
            </w:pPr>
            <w:r>
              <w:rPr>
                <w:rFonts w:hint="eastAsia" w:ascii="新宋体" w:hAnsi="新宋体" w:eastAsia="新宋体" w:cs="新宋体"/>
                <w:color w:val="000000"/>
                <w:sz w:val="16"/>
                <w:szCs w:val="16"/>
                <w:lang w:bidi="ar"/>
              </w:rPr>
              <w:t>1</w:t>
            </w: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新宋体" w:hAnsi="新宋体" w:eastAsia="新宋体" w:cs="新宋体"/>
                <w:color w:val="000000"/>
                <w:sz w:val="18"/>
                <w:szCs w:val="18"/>
              </w:rPr>
            </w:pPr>
            <w:r>
              <w:rPr>
                <w:rFonts w:hint="eastAsia" w:ascii="新宋体" w:hAnsi="新宋体" w:eastAsia="新宋体" w:cs="新宋体"/>
                <w:color w:val="000000"/>
                <w:sz w:val="18"/>
                <w:szCs w:val="18"/>
                <w:lang w:bidi="ar"/>
              </w:rPr>
              <w:t>人脸采集设备，含支架</w:t>
            </w:r>
          </w:p>
        </w:tc>
      </w:tr>
      <w:tr>
        <w:tblPrEx>
          <w:tblCellMar>
            <w:top w:w="0" w:type="dxa"/>
            <w:left w:w="108" w:type="dxa"/>
            <w:bottom w:w="0" w:type="dxa"/>
            <w:right w:w="108" w:type="dxa"/>
          </w:tblCellMar>
        </w:tblPrEx>
        <w:trPr>
          <w:trHeight w:val="1470" w:hRule="atLeast"/>
        </w:trPr>
        <w:tc>
          <w:tcPr>
            <w:tcW w:w="57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lang w:bidi="ar"/>
              </w:rPr>
              <w:t>8</w:t>
            </w:r>
          </w:p>
        </w:tc>
        <w:tc>
          <w:tcPr>
            <w:tcW w:w="11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餐具</w:t>
            </w:r>
          </w:p>
        </w:tc>
        <w:tc>
          <w:tcPr>
            <w:tcW w:w="98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定制</w:t>
            </w:r>
          </w:p>
        </w:tc>
        <w:tc>
          <w:tcPr>
            <w:tcW w:w="379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textAlignment w:val="center"/>
              <w:rPr>
                <w:rFonts w:cs="宋体" w:asciiTheme="minorEastAsia" w:hAnsiTheme="minorEastAsia" w:eastAsiaTheme="minorEastAsia"/>
                <w:color w:val="000000"/>
              </w:rPr>
            </w:pPr>
            <w:r>
              <w:rPr>
                <w:rFonts w:hint="eastAsia" w:cs="宋体" w:asciiTheme="minorEastAsia" w:hAnsiTheme="minorEastAsia" w:eastAsiaTheme="minorEastAsia"/>
                <w:color w:val="000000"/>
              </w:rPr>
              <w:t>1、成份：三聚氰胺甲醛树脂，纤维素</w:t>
            </w:r>
          </w:p>
          <w:p>
            <w:pPr>
              <w:widowControl/>
              <w:jc w:val="left"/>
              <w:textAlignment w:val="center"/>
              <w:rPr>
                <w:rFonts w:cs="宋体" w:asciiTheme="minorEastAsia" w:hAnsiTheme="minorEastAsia" w:eastAsiaTheme="minorEastAsia"/>
                <w:color w:val="000000"/>
              </w:rPr>
            </w:pPr>
            <w:r>
              <w:rPr>
                <w:rFonts w:hint="eastAsia" w:cs="宋体" w:asciiTheme="minorEastAsia" w:hAnsiTheme="minorEastAsia" w:eastAsiaTheme="minorEastAsia"/>
                <w:color w:val="000000"/>
              </w:rPr>
              <w:t>2、耐温：120度</w:t>
            </w:r>
          </w:p>
          <w:p>
            <w:pPr>
              <w:widowControl/>
              <w:jc w:val="left"/>
              <w:textAlignment w:val="center"/>
              <w:rPr>
                <w:rFonts w:cs="宋体" w:asciiTheme="minorEastAsia" w:hAnsiTheme="minorEastAsia" w:eastAsiaTheme="minorEastAsia"/>
                <w:color w:val="000000"/>
              </w:rPr>
            </w:pPr>
            <w:r>
              <w:rPr>
                <w:rFonts w:hint="eastAsia" w:cs="宋体" w:asciiTheme="minorEastAsia" w:hAnsiTheme="minorEastAsia" w:eastAsiaTheme="minorEastAsia"/>
                <w:color w:val="000000"/>
              </w:rPr>
              <w:t>3、产品符ISO/IEC 15693及ISO/IEC 18000-3 国际标准</w:t>
            </w:r>
          </w:p>
          <w:p>
            <w:pPr>
              <w:widowControl/>
              <w:jc w:val="left"/>
              <w:textAlignment w:val="center"/>
              <w:rPr>
                <w:rFonts w:cs="宋体" w:asciiTheme="minorEastAsia" w:hAnsiTheme="minorEastAsia" w:eastAsiaTheme="minorEastAsia"/>
                <w:color w:val="000000"/>
              </w:rPr>
            </w:pPr>
            <w:r>
              <w:rPr>
                <w:rFonts w:hint="eastAsia" w:cs="宋体" w:asciiTheme="minorEastAsia" w:hAnsiTheme="minorEastAsia" w:eastAsiaTheme="minorEastAsia"/>
                <w:color w:val="000000"/>
              </w:rPr>
              <w:t>4、产品通过耐高温，耐清洗和耐碰撞</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新宋体" w:hAnsi="新宋体" w:eastAsia="新宋体" w:cs="新宋体"/>
                <w:color w:val="000000"/>
                <w:sz w:val="16"/>
                <w:szCs w:val="16"/>
              </w:rPr>
            </w:pPr>
            <w:r>
              <w:rPr>
                <w:rFonts w:hint="eastAsia" w:ascii="新宋体" w:hAnsi="新宋体" w:eastAsia="新宋体" w:cs="新宋体"/>
                <w:color w:val="000000"/>
                <w:sz w:val="16"/>
                <w:szCs w:val="16"/>
                <w:lang w:bidi="ar"/>
              </w:rPr>
              <w:t>个</w:t>
            </w:r>
          </w:p>
        </w:tc>
        <w:tc>
          <w:tcPr>
            <w:tcW w:w="8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新宋体" w:hAnsi="新宋体" w:eastAsia="新宋体" w:cs="新宋体"/>
                <w:color w:val="000000"/>
                <w:sz w:val="16"/>
                <w:szCs w:val="16"/>
              </w:rPr>
            </w:pPr>
            <w:r>
              <w:rPr>
                <w:rFonts w:hint="eastAsia" w:ascii="新宋体" w:hAnsi="新宋体" w:eastAsia="新宋体" w:cs="新宋体"/>
                <w:color w:val="000000"/>
                <w:sz w:val="16"/>
                <w:szCs w:val="16"/>
                <w:lang w:bidi="ar"/>
              </w:rPr>
              <w:t>1400</w:t>
            </w:r>
          </w:p>
        </w:tc>
        <w:tc>
          <w:tcPr>
            <w:tcW w:w="926" w:type="dxa"/>
            <w:tcBorders>
              <w:top w:val="single" w:color="auto" w:sz="4" w:space="0"/>
              <w:left w:val="single" w:color="auto" w:sz="4" w:space="0"/>
              <w:bottom w:val="single" w:color="auto" w:sz="4" w:space="0"/>
              <w:right w:val="single" w:color="auto" w:sz="4" w:space="0"/>
            </w:tcBorders>
            <w:noWrap/>
            <w:vAlign w:val="center"/>
          </w:tcPr>
          <w:p>
            <w:pPr>
              <w:jc w:val="center"/>
              <w:rPr>
                <w:rFonts w:ascii="新宋体" w:hAnsi="新宋体" w:eastAsia="新宋体" w:cs="新宋体"/>
                <w:color w:val="000000"/>
                <w:sz w:val="18"/>
                <w:szCs w:val="18"/>
              </w:rPr>
            </w:pPr>
          </w:p>
        </w:tc>
      </w:tr>
      <w:tr>
        <w:tblPrEx>
          <w:tblCellMar>
            <w:top w:w="0" w:type="dxa"/>
            <w:left w:w="108" w:type="dxa"/>
            <w:bottom w:w="0" w:type="dxa"/>
            <w:right w:w="108" w:type="dxa"/>
          </w:tblCellMar>
        </w:tblPrEx>
        <w:trPr>
          <w:trHeight w:val="225" w:hRule="atLeast"/>
        </w:trPr>
        <w:tc>
          <w:tcPr>
            <w:tcW w:w="577" w:type="dxa"/>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lang w:bidi="ar"/>
              </w:rPr>
              <w:t>9</w:t>
            </w:r>
          </w:p>
        </w:tc>
        <w:tc>
          <w:tcPr>
            <w:tcW w:w="110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托盘</w:t>
            </w:r>
          </w:p>
        </w:tc>
        <w:tc>
          <w:tcPr>
            <w:tcW w:w="981" w:type="dxa"/>
            <w:gridSpan w:val="2"/>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定制</w:t>
            </w:r>
          </w:p>
        </w:tc>
        <w:tc>
          <w:tcPr>
            <w:tcW w:w="37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color w:val="000000"/>
              </w:rPr>
            </w:pPr>
            <w:r>
              <w:rPr>
                <w:rFonts w:hint="eastAsia" w:cs="宋体" w:asciiTheme="minorEastAsia" w:hAnsiTheme="minorEastAsia" w:eastAsiaTheme="minorEastAsia"/>
                <w:color w:val="000000"/>
              </w:rPr>
              <w:t>P</w:t>
            </w:r>
            <w:r>
              <w:rPr>
                <w:rFonts w:cs="宋体" w:asciiTheme="minorEastAsia" w:hAnsiTheme="minorEastAsia" w:eastAsiaTheme="minorEastAsia"/>
                <w:color w:val="000000"/>
              </w:rPr>
              <w:t>P</w:t>
            </w:r>
            <w:r>
              <w:rPr>
                <w:rFonts w:hint="eastAsia" w:cs="宋体" w:asciiTheme="minorEastAsia" w:hAnsiTheme="minorEastAsia" w:eastAsiaTheme="minorEastAsia"/>
                <w:color w:val="000000"/>
              </w:rPr>
              <w:t>材质</w:t>
            </w:r>
          </w:p>
        </w:tc>
        <w:tc>
          <w:tcPr>
            <w:tcW w:w="1073"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新宋体" w:hAnsi="新宋体" w:eastAsia="新宋体" w:cs="新宋体"/>
                <w:color w:val="000000"/>
                <w:sz w:val="16"/>
                <w:szCs w:val="16"/>
              </w:rPr>
            </w:pPr>
            <w:r>
              <w:rPr>
                <w:rFonts w:hint="eastAsia" w:ascii="新宋体" w:hAnsi="新宋体" w:eastAsia="新宋体" w:cs="新宋体"/>
                <w:color w:val="000000"/>
                <w:sz w:val="16"/>
                <w:szCs w:val="16"/>
                <w:lang w:bidi="ar"/>
              </w:rPr>
              <w:t>个</w:t>
            </w:r>
          </w:p>
        </w:tc>
        <w:tc>
          <w:tcPr>
            <w:tcW w:w="831"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新宋体" w:hAnsi="新宋体" w:eastAsia="新宋体" w:cs="新宋体"/>
                <w:color w:val="000000"/>
                <w:sz w:val="16"/>
                <w:szCs w:val="16"/>
              </w:rPr>
            </w:pPr>
            <w:r>
              <w:rPr>
                <w:rFonts w:hint="eastAsia" w:ascii="新宋体" w:hAnsi="新宋体" w:eastAsia="新宋体" w:cs="新宋体"/>
                <w:color w:val="000000"/>
                <w:sz w:val="16"/>
                <w:szCs w:val="16"/>
                <w:lang w:bidi="ar"/>
              </w:rPr>
              <w:t>200</w:t>
            </w:r>
          </w:p>
        </w:tc>
        <w:tc>
          <w:tcPr>
            <w:tcW w:w="926" w:type="dxa"/>
            <w:tcBorders>
              <w:top w:val="single" w:color="auto" w:sz="4" w:space="0"/>
              <w:left w:val="single" w:color="000000" w:sz="4" w:space="0"/>
              <w:bottom w:val="single" w:color="000000" w:sz="4" w:space="0"/>
              <w:right w:val="single" w:color="000000" w:sz="4" w:space="0"/>
            </w:tcBorders>
            <w:noWrap/>
            <w:vAlign w:val="center"/>
          </w:tcPr>
          <w:p>
            <w:pPr>
              <w:jc w:val="center"/>
              <w:rPr>
                <w:rFonts w:ascii="新宋体" w:hAnsi="新宋体" w:eastAsia="新宋体" w:cs="新宋体"/>
                <w:color w:val="000000"/>
                <w:sz w:val="18"/>
                <w:szCs w:val="18"/>
              </w:rPr>
            </w:pPr>
          </w:p>
        </w:tc>
      </w:tr>
      <w:tr>
        <w:tblPrEx>
          <w:tblCellMar>
            <w:top w:w="0" w:type="dxa"/>
            <w:left w:w="108" w:type="dxa"/>
            <w:bottom w:w="0" w:type="dxa"/>
            <w:right w:w="108" w:type="dxa"/>
          </w:tblCellMar>
        </w:tblPrEx>
        <w:trPr>
          <w:trHeight w:val="225" w:hRule="atLeast"/>
        </w:trPr>
        <w:tc>
          <w:tcPr>
            <w:tcW w:w="5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ascii="宋体" w:hAnsi="宋体" w:cs="宋体"/>
                <w:color w:val="000000"/>
                <w:sz w:val="22"/>
                <w:szCs w:val="22"/>
                <w:lang w:bidi="ar"/>
              </w:rPr>
              <w:t>10</w:t>
            </w:r>
          </w:p>
        </w:tc>
        <w:tc>
          <w:tcPr>
            <w:tcW w:w="11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系统集成费</w:t>
            </w:r>
          </w:p>
        </w:tc>
        <w:tc>
          <w:tcPr>
            <w:tcW w:w="98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379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2"/>
                <w:szCs w:val="22"/>
              </w:rPr>
            </w:pPr>
          </w:p>
        </w:tc>
        <w:tc>
          <w:tcPr>
            <w:tcW w:w="1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新宋体" w:hAnsi="新宋体" w:eastAsia="新宋体" w:cs="新宋体"/>
                <w:color w:val="000000"/>
                <w:sz w:val="16"/>
                <w:szCs w:val="16"/>
              </w:rPr>
            </w:pPr>
            <w:r>
              <w:rPr>
                <w:rFonts w:hint="eastAsia" w:ascii="新宋体" w:hAnsi="新宋体" w:eastAsia="新宋体" w:cs="新宋体"/>
                <w:color w:val="000000"/>
                <w:sz w:val="16"/>
                <w:szCs w:val="16"/>
                <w:lang w:bidi="ar"/>
              </w:rPr>
              <w:t>项</w:t>
            </w:r>
          </w:p>
        </w:tc>
        <w:tc>
          <w:tcPr>
            <w:tcW w:w="8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新宋体" w:hAnsi="新宋体" w:eastAsia="新宋体" w:cs="新宋体"/>
                <w:color w:val="000000"/>
                <w:sz w:val="16"/>
                <w:szCs w:val="16"/>
              </w:rPr>
            </w:pPr>
            <w:r>
              <w:rPr>
                <w:rFonts w:hint="eastAsia" w:ascii="新宋体" w:hAnsi="新宋体" w:eastAsia="新宋体" w:cs="新宋体"/>
                <w:color w:val="000000"/>
                <w:sz w:val="16"/>
                <w:szCs w:val="16"/>
                <w:lang w:bidi="ar"/>
              </w:rPr>
              <w:t>1</w:t>
            </w:r>
          </w:p>
        </w:tc>
        <w:tc>
          <w:tcPr>
            <w:tcW w:w="92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新宋体" w:hAnsi="新宋体" w:eastAsia="新宋体" w:cs="新宋体"/>
                <w:color w:val="000000"/>
                <w:sz w:val="18"/>
                <w:szCs w:val="18"/>
              </w:rPr>
            </w:pPr>
          </w:p>
        </w:tc>
      </w:tr>
    </w:tbl>
    <w:p>
      <w:pPr>
        <w:pStyle w:val="24"/>
      </w:pPr>
    </w:p>
    <w:p>
      <w:pPr>
        <w:pStyle w:val="24"/>
      </w:pPr>
      <w:r>
        <w:rPr>
          <w:rFonts w:hint="eastAsia"/>
          <w:b/>
          <w:bCs/>
          <w:color w:val="000000"/>
          <w:sz w:val="21"/>
          <w:szCs w:val="21"/>
          <w:lang w:bidi="ar"/>
        </w:rPr>
        <w:t xml:space="preserve">（2）厨房设备清单 </w:t>
      </w:r>
    </w:p>
    <w:tbl>
      <w:tblPr>
        <w:tblStyle w:val="26"/>
        <w:tblW w:w="9277" w:type="dxa"/>
        <w:tblInd w:w="-291" w:type="dxa"/>
        <w:tblLayout w:type="fixed"/>
        <w:tblCellMar>
          <w:top w:w="0" w:type="dxa"/>
          <w:left w:w="108" w:type="dxa"/>
          <w:bottom w:w="0" w:type="dxa"/>
          <w:right w:w="108" w:type="dxa"/>
        </w:tblCellMar>
      </w:tblPr>
      <w:tblGrid>
        <w:gridCol w:w="1705"/>
        <w:gridCol w:w="3694"/>
        <w:gridCol w:w="656"/>
        <w:gridCol w:w="903"/>
        <w:gridCol w:w="2319"/>
      </w:tblGrid>
      <w:tr>
        <w:tblPrEx>
          <w:tblCellMar>
            <w:top w:w="0" w:type="dxa"/>
            <w:left w:w="108" w:type="dxa"/>
            <w:bottom w:w="0" w:type="dxa"/>
            <w:right w:w="108" w:type="dxa"/>
          </w:tblCellMar>
        </w:tblPrEx>
        <w:trPr>
          <w:trHeight w:val="740" w:hRule="atLeast"/>
        </w:trPr>
        <w:tc>
          <w:tcPr>
            <w:tcW w:w="1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位置</w:t>
            </w:r>
          </w:p>
        </w:tc>
        <w:tc>
          <w:tcPr>
            <w:tcW w:w="369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内容</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单位</w:t>
            </w:r>
          </w:p>
        </w:tc>
        <w:tc>
          <w:tcPr>
            <w:tcW w:w="9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数量</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图片</w:t>
            </w:r>
          </w:p>
        </w:tc>
      </w:tr>
      <w:tr>
        <w:tblPrEx>
          <w:tblCellMar>
            <w:top w:w="0" w:type="dxa"/>
            <w:left w:w="108" w:type="dxa"/>
            <w:bottom w:w="0" w:type="dxa"/>
            <w:right w:w="108" w:type="dxa"/>
          </w:tblCellMar>
        </w:tblPrEx>
        <w:trPr>
          <w:trHeight w:val="270" w:hRule="atLeast"/>
        </w:trPr>
        <w:tc>
          <w:tcPr>
            <w:tcW w:w="1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sz w:val="22"/>
                <w:szCs w:val="22"/>
                <w:lang w:bidi="ar"/>
              </w:rPr>
              <w:t>粗加工</w:t>
            </w:r>
          </w:p>
        </w:tc>
        <w:tc>
          <w:tcPr>
            <w:tcW w:w="36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656"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2"/>
                <w:szCs w:val="22"/>
              </w:rPr>
            </w:pPr>
          </w:p>
        </w:tc>
        <w:tc>
          <w:tcPr>
            <w:tcW w:w="2319"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电热开水器</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套</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60288" behindDoc="0" locked="0" layoutInCell="1" allowOverlap="1">
                  <wp:simplePos x="0" y="0"/>
                  <wp:positionH relativeFrom="column">
                    <wp:posOffset>403225</wp:posOffset>
                  </wp:positionH>
                  <wp:positionV relativeFrom="paragraph">
                    <wp:posOffset>144145</wp:posOffset>
                  </wp:positionV>
                  <wp:extent cx="495300" cy="652145"/>
                  <wp:effectExtent l="0" t="0" r="0" b="14605"/>
                  <wp:wrapNone/>
                  <wp:docPr id="40" name="Picture_55"/>
                  <wp:cNvGraphicFramePr/>
                  <a:graphic xmlns:a="http://schemas.openxmlformats.org/drawingml/2006/main">
                    <a:graphicData uri="http://schemas.openxmlformats.org/drawingml/2006/picture">
                      <pic:pic xmlns:pic="http://schemas.openxmlformats.org/drawingml/2006/picture">
                        <pic:nvPicPr>
                          <pic:cNvPr id="40" name="Picture_55"/>
                          <pic:cNvPicPr/>
                        </pic:nvPicPr>
                        <pic:blipFill>
                          <a:blip r:embed="rId8"/>
                          <a:stretch>
                            <a:fillRect/>
                          </a:stretch>
                        </pic:blipFill>
                        <pic:spPr>
                          <a:xfrm>
                            <a:off x="0" y="0"/>
                            <a:ext cx="495300" cy="65214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产地品牌（参照或相当于）：中亚、腾飞、亮见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380V/9KW</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SIZE：60L</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残菜回收台</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61312" behindDoc="0" locked="0" layoutInCell="1" allowOverlap="1">
                  <wp:simplePos x="0" y="0"/>
                  <wp:positionH relativeFrom="column">
                    <wp:posOffset>220980</wp:posOffset>
                  </wp:positionH>
                  <wp:positionV relativeFrom="paragraph">
                    <wp:posOffset>625475</wp:posOffset>
                  </wp:positionV>
                  <wp:extent cx="820420" cy="843280"/>
                  <wp:effectExtent l="0" t="0" r="17780" b="13970"/>
                  <wp:wrapNone/>
                  <wp:docPr id="41" name="图片_2793"/>
                  <wp:cNvGraphicFramePr/>
                  <a:graphic xmlns:a="http://schemas.openxmlformats.org/drawingml/2006/main">
                    <a:graphicData uri="http://schemas.openxmlformats.org/drawingml/2006/picture">
                      <pic:pic xmlns:pic="http://schemas.openxmlformats.org/drawingml/2006/picture">
                        <pic:nvPicPr>
                          <pic:cNvPr id="41" name="图片_2793"/>
                          <pic:cNvPicPr/>
                        </pic:nvPicPr>
                        <pic:blipFill>
                          <a:blip r:embed="rId9"/>
                          <a:stretch>
                            <a:fillRect/>
                          </a:stretch>
                        </pic:blipFill>
                        <pic:spPr>
                          <a:xfrm>
                            <a:off x="0" y="0"/>
                            <a:ext cx="820420" cy="84328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材质：选用SUS304-2B优质不锈钢管制作。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台板厚度为1.2mm，侧板厚0.8mm不锈钢制造</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圆角模压成型，不锈钢加强档</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φ38mm不锈钢圆通腿</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规格：600×700×800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单星水池</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62336" behindDoc="0" locked="0" layoutInCell="1" allowOverlap="1">
                  <wp:simplePos x="0" y="0"/>
                  <wp:positionH relativeFrom="column">
                    <wp:posOffset>294005</wp:posOffset>
                  </wp:positionH>
                  <wp:positionV relativeFrom="paragraph">
                    <wp:posOffset>462280</wp:posOffset>
                  </wp:positionV>
                  <wp:extent cx="774700" cy="909320"/>
                  <wp:effectExtent l="0" t="0" r="6350" b="5080"/>
                  <wp:wrapNone/>
                  <wp:docPr id="42" name="Picture_1090"/>
                  <wp:cNvGraphicFramePr/>
                  <a:graphic xmlns:a="http://schemas.openxmlformats.org/drawingml/2006/main">
                    <a:graphicData uri="http://schemas.openxmlformats.org/drawingml/2006/picture">
                      <pic:pic xmlns:pic="http://schemas.openxmlformats.org/drawingml/2006/picture">
                        <pic:nvPicPr>
                          <pic:cNvPr id="42" name="Picture_1090"/>
                          <pic:cNvPicPr/>
                        </pic:nvPicPr>
                        <pic:blipFill>
                          <a:blip r:embed="rId10"/>
                          <a:stretch>
                            <a:fillRect/>
                          </a:stretch>
                        </pic:blipFill>
                        <pic:spPr>
                          <a:xfrm>
                            <a:off x="0" y="0"/>
                            <a:ext cx="774700" cy="90932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8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8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材质：选用SUS304-2B优质不锈钢板制作。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8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台板采用1.2㎜,侧板0.8㎜不锈钢板制作.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6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说明：圆角模压成型，加强档、筋采用不锈钢制作.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8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优质落水器及不锈钢可调脚。</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6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规格：700×700×800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双星水池</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28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8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材质：选用SUS304-2B优质不锈钢板制作。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63360" behindDoc="0" locked="0" layoutInCell="1" allowOverlap="1">
                  <wp:simplePos x="0" y="0"/>
                  <wp:positionH relativeFrom="column">
                    <wp:posOffset>3672840</wp:posOffset>
                  </wp:positionH>
                  <wp:positionV relativeFrom="paragraph">
                    <wp:posOffset>44450</wp:posOffset>
                  </wp:positionV>
                  <wp:extent cx="791210" cy="1071245"/>
                  <wp:effectExtent l="0" t="0" r="8890" b="14605"/>
                  <wp:wrapNone/>
                  <wp:docPr id="43" name="图片_2"/>
                  <wp:cNvGraphicFramePr/>
                  <a:graphic xmlns:a="http://schemas.openxmlformats.org/drawingml/2006/main">
                    <a:graphicData uri="http://schemas.openxmlformats.org/drawingml/2006/picture">
                      <pic:pic xmlns:pic="http://schemas.openxmlformats.org/drawingml/2006/picture">
                        <pic:nvPicPr>
                          <pic:cNvPr id="43" name="图片_2"/>
                          <pic:cNvPicPr/>
                        </pic:nvPicPr>
                        <pic:blipFill>
                          <a:blip r:embed="rId11"/>
                          <a:stretch>
                            <a:fillRect/>
                          </a:stretch>
                        </pic:blipFill>
                        <pic:spPr>
                          <a:xfrm>
                            <a:off x="0" y="0"/>
                            <a:ext cx="791210" cy="1071245"/>
                          </a:xfrm>
                          <a:prstGeom prst="rect">
                            <a:avLst/>
                          </a:prstGeom>
                          <a:noFill/>
                          <a:ln>
                            <a:noFill/>
                          </a:ln>
                        </pic:spPr>
                      </pic:pic>
                    </a:graphicData>
                  </a:graphic>
                </wp:anchor>
              </w:drawing>
            </w:r>
            <w:r>
              <w:rPr>
                <w:rFonts w:hint="eastAsia" w:ascii="宋体" w:hAnsi="宋体" w:cs="宋体"/>
                <w:color w:val="000000"/>
                <w:sz w:val="22"/>
                <w:szCs w:val="22"/>
                <w:lang w:bidi="ar"/>
              </w:rPr>
              <w:t>台板采用1.2㎜,侧板0.8㎜不锈钢板制作.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8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说明：圆角模压成型，加强档、筋采用不锈钢制作.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6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优质落水器及不锈钢可调脚。</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 xml:space="preserve"> 规格：1500×700×800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sz w:val="22"/>
                <w:szCs w:val="22"/>
              </w:rPr>
            </w:pPr>
            <w:r>
              <w:rPr>
                <w:rFonts w:hint="eastAsia" w:ascii="宋体" w:hAnsi="宋体" w:cs="宋体"/>
                <w:b/>
                <w:bCs/>
                <w:color w:val="000000"/>
                <w:sz w:val="22"/>
                <w:szCs w:val="22"/>
                <w:lang w:bidi="ar"/>
              </w:rPr>
              <w:t>台式混水厨房龙头</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套</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3</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64384" behindDoc="0" locked="0" layoutInCell="1" allowOverlap="1">
                  <wp:simplePos x="0" y="0"/>
                  <wp:positionH relativeFrom="column">
                    <wp:posOffset>453390</wp:posOffset>
                  </wp:positionH>
                  <wp:positionV relativeFrom="paragraph">
                    <wp:posOffset>185420</wp:posOffset>
                  </wp:positionV>
                  <wp:extent cx="441960" cy="560070"/>
                  <wp:effectExtent l="0" t="0" r="15240" b="11430"/>
                  <wp:wrapNone/>
                  <wp:docPr id="44" name="图片_11"/>
                  <wp:cNvGraphicFramePr/>
                  <a:graphic xmlns:a="http://schemas.openxmlformats.org/drawingml/2006/main">
                    <a:graphicData uri="http://schemas.openxmlformats.org/drawingml/2006/picture">
                      <pic:pic xmlns:pic="http://schemas.openxmlformats.org/drawingml/2006/picture">
                        <pic:nvPicPr>
                          <pic:cNvPr id="44" name="图片_11"/>
                          <pic:cNvPicPr/>
                        </pic:nvPicPr>
                        <pic:blipFill>
                          <a:blip r:embed="rId12"/>
                          <a:stretch>
                            <a:fillRect/>
                          </a:stretch>
                        </pic:blipFill>
                        <pic:spPr>
                          <a:xfrm>
                            <a:off x="0" y="0"/>
                            <a:ext cx="441960" cy="56007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产地品牌（参照或相当于）：埃美柯、天仕、君畅</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说明：双孔双把装台面鹅颈龙头，配G1/2′进水接头，出水管中心距145mm，4′对中镀铬镍黄铜本体。</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洗地龙头</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套</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65408" behindDoc="0" locked="0" layoutInCell="1" allowOverlap="1">
                  <wp:simplePos x="0" y="0"/>
                  <wp:positionH relativeFrom="column">
                    <wp:posOffset>358775</wp:posOffset>
                  </wp:positionH>
                  <wp:positionV relativeFrom="paragraph">
                    <wp:posOffset>119380</wp:posOffset>
                  </wp:positionV>
                  <wp:extent cx="621030" cy="452120"/>
                  <wp:effectExtent l="0" t="0" r="7620" b="5080"/>
                  <wp:wrapNone/>
                  <wp:docPr id="45" name="图片_2856"/>
                  <wp:cNvGraphicFramePr/>
                  <a:graphic xmlns:a="http://schemas.openxmlformats.org/drawingml/2006/main">
                    <a:graphicData uri="http://schemas.openxmlformats.org/drawingml/2006/picture">
                      <pic:pic xmlns:pic="http://schemas.openxmlformats.org/drawingml/2006/picture">
                        <pic:nvPicPr>
                          <pic:cNvPr id="45" name="图片_2856"/>
                          <pic:cNvPicPr/>
                        </pic:nvPicPr>
                        <pic:blipFill>
                          <a:blip r:embed="rId13"/>
                          <a:stretch>
                            <a:fillRect/>
                          </a:stretch>
                        </pic:blipFill>
                        <pic:spPr>
                          <a:xfrm>
                            <a:off x="0" y="0"/>
                            <a:ext cx="621030" cy="45212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8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产地品牌（参照或相当于）：厨镖、佑飞、天仕</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8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规格：10-12M</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sz w:val="22"/>
                <w:szCs w:val="22"/>
              </w:rPr>
            </w:pPr>
            <w:r>
              <w:rPr>
                <w:rFonts w:hint="eastAsia" w:ascii="宋体" w:hAnsi="宋体" w:cs="宋体"/>
                <w:b/>
                <w:bCs/>
                <w:color w:val="000000"/>
                <w:sz w:val="22"/>
                <w:szCs w:val="22"/>
                <w:lang w:bidi="ar"/>
              </w:rPr>
              <w:t>电热水器</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8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产地品牌（参照或相当于）：樱花、海尔、美的</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8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规格：80L</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sz w:val="22"/>
                <w:szCs w:val="22"/>
                <w:lang w:bidi="ar"/>
              </w:rPr>
              <w:t>面点间</w:t>
            </w:r>
          </w:p>
        </w:tc>
        <w:tc>
          <w:tcPr>
            <w:tcW w:w="36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65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单星水池</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66432" behindDoc="0" locked="0" layoutInCell="1" allowOverlap="1">
                  <wp:simplePos x="0" y="0"/>
                  <wp:positionH relativeFrom="column">
                    <wp:posOffset>215900</wp:posOffset>
                  </wp:positionH>
                  <wp:positionV relativeFrom="paragraph">
                    <wp:posOffset>273050</wp:posOffset>
                  </wp:positionV>
                  <wp:extent cx="774700" cy="1391920"/>
                  <wp:effectExtent l="0" t="0" r="6350" b="17780"/>
                  <wp:wrapNone/>
                  <wp:docPr id="46" name="Picture_1090_SpCnt_1"/>
                  <wp:cNvGraphicFramePr/>
                  <a:graphic xmlns:a="http://schemas.openxmlformats.org/drawingml/2006/main">
                    <a:graphicData uri="http://schemas.openxmlformats.org/drawingml/2006/picture">
                      <pic:pic xmlns:pic="http://schemas.openxmlformats.org/drawingml/2006/picture">
                        <pic:nvPicPr>
                          <pic:cNvPr id="46" name="Picture_1090_SpCnt_1"/>
                          <pic:cNvPicPr/>
                        </pic:nvPicPr>
                        <pic:blipFill>
                          <a:blip r:embed="rId14"/>
                          <a:stretch>
                            <a:fillRect/>
                          </a:stretch>
                        </pic:blipFill>
                        <pic:spPr>
                          <a:xfrm>
                            <a:off x="0" y="0"/>
                            <a:ext cx="774700" cy="139192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材质：选用SUS304-2B优质不锈钢板制作。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台板采用1.2㎜,侧板0.8㎜不锈钢板制作.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说明：圆角模压成型，加强档、筋采用不锈钢制作.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优质落水器及不锈钢可调脚。</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规格：580×600×800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sz w:val="22"/>
                <w:szCs w:val="22"/>
              </w:rPr>
            </w:pPr>
            <w:r>
              <w:rPr>
                <w:rFonts w:hint="eastAsia" w:ascii="宋体" w:hAnsi="宋体" w:cs="宋体"/>
                <w:b/>
                <w:bCs/>
                <w:color w:val="000000"/>
                <w:sz w:val="22"/>
                <w:szCs w:val="22"/>
                <w:lang w:bidi="ar"/>
              </w:rPr>
              <w:t>台式混水厨房龙头</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套</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67456" behindDoc="0" locked="0" layoutInCell="1" allowOverlap="1">
                  <wp:simplePos x="0" y="0"/>
                  <wp:positionH relativeFrom="column">
                    <wp:posOffset>323215</wp:posOffset>
                  </wp:positionH>
                  <wp:positionV relativeFrom="paragraph">
                    <wp:posOffset>56515</wp:posOffset>
                  </wp:positionV>
                  <wp:extent cx="441960" cy="560070"/>
                  <wp:effectExtent l="0" t="0" r="15240" b="11430"/>
                  <wp:wrapNone/>
                  <wp:docPr id="47" name="图片_28"/>
                  <wp:cNvGraphicFramePr/>
                  <a:graphic xmlns:a="http://schemas.openxmlformats.org/drawingml/2006/main">
                    <a:graphicData uri="http://schemas.openxmlformats.org/drawingml/2006/picture">
                      <pic:pic xmlns:pic="http://schemas.openxmlformats.org/drawingml/2006/picture">
                        <pic:nvPicPr>
                          <pic:cNvPr id="47" name="图片_28"/>
                          <pic:cNvPicPr/>
                        </pic:nvPicPr>
                        <pic:blipFill>
                          <a:blip r:embed="rId15"/>
                          <a:stretch>
                            <a:fillRect/>
                          </a:stretch>
                        </pic:blipFill>
                        <pic:spPr>
                          <a:xfrm>
                            <a:off x="0" y="0"/>
                            <a:ext cx="441960" cy="56007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产地品牌（参照或相当于）：埃美柯、天仕、君畅</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81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说明：双孔双把装台面鹅颈龙头，配G1/2′进水接头，出水管中心距145mm，4′对中镀铬镍黄铜本体。</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sz w:val="22"/>
                <w:szCs w:val="22"/>
                <w:lang w:bidi="ar"/>
              </w:rPr>
              <w:t>热厨区</w:t>
            </w:r>
          </w:p>
        </w:tc>
        <w:tc>
          <w:tcPr>
            <w:tcW w:w="36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656"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2"/>
                <w:szCs w:val="22"/>
              </w:rPr>
            </w:pPr>
          </w:p>
        </w:tc>
        <w:tc>
          <w:tcPr>
            <w:tcW w:w="2319"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调料平台</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68480" behindDoc="0" locked="0" layoutInCell="1" allowOverlap="1">
                  <wp:simplePos x="0" y="0"/>
                  <wp:positionH relativeFrom="column">
                    <wp:posOffset>331470</wp:posOffset>
                  </wp:positionH>
                  <wp:positionV relativeFrom="paragraph">
                    <wp:posOffset>56515</wp:posOffset>
                  </wp:positionV>
                  <wp:extent cx="721360" cy="1031240"/>
                  <wp:effectExtent l="0" t="0" r="2540" b="16510"/>
                  <wp:wrapNone/>
                  <wp:docPr id="48" name="Picture_1781"/>
                  <wp:cNvGraphicFramePr/>
                  <a:graphic xmlns:a="http://schemas.openxmlformats.org/drawingml/2006/main">
                    <a:graphicData uri="http://schemas.openxmlformats.org/drawingml/2006/picture">
                      <pic:pic xmlns:pic="http://schemas.openxmlformats.org/drawingml/2006/picture">
                        <pic:nvPicPr>
                          <pic:cNvPr id="48" name="Picture_1781"/>
                          <pic:cNvPicPr/>
                        </pic:nvPicPr>
                        <pic:blipFill>
                          <a:blip r:embed="rId16"/>
                          <a:stretch>
                            <a:fillRect/>
                          </a:stretch>
                        </pic:blipFill>
                        <pic:spPr>
                          <a:xfrm>
                            <a:off x="0" y="0"/>
                            <a:ext cx="721360" cy="103124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材质：选用SUS304-2B优质不锈钢板制作。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台板厚1.2㎜不锈钢板制作.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说明：骨架采用Φ38不锈钢管搭制，加强筋，</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配不锈钢可调子弹脚。</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规格：500×1000×800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调料水池</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69504" behindDoc="0" locked="0" layoutInCell="1" allowOverlap="1">
                  <wp:simplePos x="0" y="0"/>
                  <wp:positionH relativeFrom="column">
                    <wp:posOffset>299720</wp:posOffset>
                  </wp:positionH>
                  <wp:positionV relativeFrom="paragraph">
                    <wp:posOffset>481330</wp:posOffset>
                  </wp:positionV>
                  <wp:extent cx="673100" cy="908050"/>
                  <wp:effectExtent l="0" t="0" r="12700" b="6350"/>
                  <wp:wrapNone/>
                  <wp:docPr id="49" name="图片_25"/>
                  <wp:cNvGraphicFramePr/>
                  <a:graphic xmlns:a="http://schemas.openxmlformats.org/drawingml/2006/main">
                    <a:graphicData uri="http://schemas.openxmlformats.org/drawingml/2006/picture">
                      <pic:pic xmlns:pic="http://schemas.openxmlformats.org/drawingml/2006/picture">
                        <pic:nvPicPr>
                          <pic:cNvPr id="49" name="图片_25"/>
                          <pic:cNvPicPr/>
                        </pic:nvPicPr>
                        <pic:blipFill>
                          <a:blip r:embed="rId17"/>
                          <a:stretch>
                            <a:fillRect/>
                          </a:stretch>
                        </pic:blipFill>
                        <pic:spPr>
                          <a:xfrm>
                            <a:off x="0" y="0"/>
                            <a:ext cx="673100" cy="90805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材质：选用SUS304-2B优质不锈钢板制作。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台板采用1.2㎜,侧板0.8㎜不锈钢板制作.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说明：圆角模压成型，加强档、筋采用不锈钢制作.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优质落水器及不锈钢可调脚。</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规格：600×1000×800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燃气双眼炒灶</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70528" behindDoc="0" locked="0" layoutInCell="1" allowOverlap="1">
                  <wp:simplePos x="0" y="0"/>
                  <wp:positionH relativeFrom="column">
                    <wp:posOffset>173355</wp:posOffset>
                  </wp:positionH>
                  <wp:positionV relativeFrom="paragraph">
                    <wp:posOffset>264160</wp:posOffset>
                  </wp:positionV>
                  <wp:extent cx="917575" cy="647700"/>
                  <wp:effectExtent l="0" t="0" r="15875" b="0"/>
                  <wp:wrapNone/>
                  <wp:docPr id="50" name="图片_14"/>
                  <wp:cNvGraphicFramePr/>
                  <a:graphic xmlns:a="http://schemas.openxmlformats.org/drawingml/2006/main">
                    <a:graphicData uri="http://schemas.openxmlformats.org/drawingml/2006/picture">
                      <pic:pic xmlns:pic="http://schemas.openxmlformats.org/drawingml/2006/picture">
                        <pic:nvPicPr>
                          <pic:cNvPr id="50" name="图片_14"/>
                          <pic:cNvPicPr/>
                        </pic:nvPicPr>
                        <pic:blipFill>
                          <a:blip r:embed="rId18"/>
                          <a:stretch>
                            <a:fillRect/>
                          </a:stretch>
                        </pic:blipFill>
                        <pic:spPr>
                          <a:xfrm>
                            <a:off x="0" y="0"/>
                            <a:ext cx="917575" cy="64770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6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选用优质不锈钢板制作，厚度1.0mm,不锈钢条缝燃烧机、双层合金炉膛、不锈钢25X38灶架</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规格：1800×1000×800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燃气双眼煲灶</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71552" behindDoc="0" locked="0" layoutInCell="1" allowOverlap="1">
                  <wp:simplePos x="0" y="0"/>
                  <wp:positionH relativeFrom="column">
                    <wp:posOffset>212090</wp:posOffset>
                  </wp:positionH>
                  <wp:positionV relativeFrom="paragraph">
                    <wp:posOffset>678815</wp:posOffset>
                  </wp:positionV>
                  <wp:extent cx="898525" cy="847090"/>
                  <wp:effectExtent l="0" t="0" r="15875" b="10160"/>
                  <wp:wrapNone/>
                  <wp:docPr id="51" name="图片_2829"/>
                  <wp:cNvGraphicFramePr/>
                  <a:graphic xmlns:a="http://schemas.openxmlformats.org/drawingml/2006/main">
                    <a:graphicData uri="http://schemas.openxmlformats.org/drawingml/2006/picture">
                      <pic:pic xmlns:pic="http://schemas.openxmlformats.org/drawingml/2006/picture">
                        <pic:nvPicPr>
                          <pic:cNvPr id="51" name="图片_2829"/>
                          <pic:cNvPicPr/>
                        </pic:nvPicPr>
                        <pic:blipFill>
                          <a:blip r:embed="rId19"/>
                          <a:stretch>
                            <a:fillRect/>
                          </a:stretch>
                        </pic:blipFill>
                        <pic:spPr>
                          <a:xfrm>
                            <a:off x="0" y="0"/>
                            <a:ext cx="898525" cy="84709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96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采用优质不锈钢板制造</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炉面采用冲压面板，板厚1.0mm</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开关板、后挡板厚0.8mm</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炉底部分用3mm厚铁板</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主体骨架用40×40×3.5角铁</w:t>
            </w:r>
            <w:r>
              <w:rPr>
                <w:rFonts w:hint="eastAsia" w:ascii="宋体" w:hAnsi="宋体" w:cs="宋体"/>
                <w:color w:val="000000"/>
                <w:sz w:val="22"/>
                <w:szCs w:val="22"/>
                <w:lang w:bidi="ar"/>
              </w:rPr>
              <w:br w:type="textWrapping"/>
            </w:r>
            <w:r>
              <w:rPr>
                <w:rFonts w:hint="eastAsia" w:ascii="宋体" w:hAnsi="宋体" w:cs="宋体"/>
                <w:color w:val="000000"/>
                <w:sz w:val="22"/>
                <w:szCs w:val="22"/>
                <w:lang w:bidi="ar"/>
              </w:rPr>
              <w:t>不锈钢脚，可调炉脚                                                燃气旺火型 ,配文华炉头.底托盘采用不锈钢板制作。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规格：400×1000×800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单门蒸饭箱</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材质：选用优质SUS304-2B不锈钢板</w:t>
            </w:r>
            <w:r>
              <w:rPr>
                <w:rFonts w:hint="eastAsia" w:ascii="宋体" w:hAnsi="宋体" w:cs="宋体"/>
                <w:color w:val="000000"/>
                <w:sz w:val="22"/>
                <w:szCs w:val="22"/>
                <w:bdr w:val="single" w:color="000000" w:sz="4" w:space="0"/>
                <w:lang w:bidi="ar"/>
              </w:rPr>
              <w:drawing>
                <wp:anchor distT="0" distB="0" distL="114300" distR="114300" simplePos="0" relativeHeight="251672576" behindDoc="0" locked="0" layoutInCell="1" allowOverlap="1">
                  <wp:simplePos x="0" y="0"/>
                  <wp:positionH relativeFrom="column">
                    <wp:posOffset>3723005</wp:posOffset>
                  </wp:positionH>
                  <wp:positionV relativeFrom="paragraph">
                    <wp:posOffset>70485</wp:posOffset>
                  </wp:positionV>
                  <wp:extent cx="579120" cy="876935"/>
                  <wp:effectExtent l="0" t="0" r="11430" b="18415"/>
                  <wp:wrapNone/>
                  <wp:docPr id="52" name="图片_16"/>
                  <wp:cNvGraphicFramePr/>
                  <a:graphic xmlns:a="http://schemas.openxmlformats.org/drawingml/2006/main">
                    <a:graphicData uri="http://schemas.openxmlformats.org/drawingml/2006/picture">
                      <pic:pic xmlns:pic="http://schemas.openxmlformats.org/drawingml/2006/picture">
                        <pic:nvPicPr>
                          <pic:cNvPr id="52" name="图片_16"/>
                          <pic:cNvPicPr/>
                        </pic:nvPicPr>
                        <pic:blipFill>
                          <a:blip r:embed="rId20"/>
                          <a:stretch>
                            <a:fillRect/>
                          </a:stretch>
                        </pic:blipFill>
                        <pic:spPr>
                          <a:xfrm>
                            <a:off x="0" y="0"/>
                            <a:ext cx="579120" cy="876935"/>
                          </a:xfrm>
                          <a:prstGeom prst="rect">
                            <a:avLst/>
                          </a:prstGeom>
                          <a:noFill/>
                          <a:ln>
                            <a:noFill/>
                          </a:ln>
                        </pic:spPr>
                      </pic:pic>
                    </a:graphicData>
                  </a:graphic>
                </wp:anchor>
              </w:drawing>
            </w:r>
            <w:r>
              <w:rPr>
                <w:rFonts w:hint="eastAsia" w:ascii="宋体" w:hAnsi="宋体" w:cs="宋体"/>
                <w:color w:val="000000"/>
                <w:sz w:val="22"/>
                <w:szCs w:val="22"/>
                <w:lang w:bidi="ar"/>
              </w:rPr>
              <w:t>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内板采用1.0㎜,外板0.8㎜不锈钢板制作.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说明：功率：12KW/380V</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规格：50Kg</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nil"/>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 xml:space="preserve"> 规格：1500×800×800</w:t>
            </w:r>
          </w:p>
        </w:tc>
        <w:tc>
          <w:tcPr>
            <w:tcW w:w="656" w:type="dxa"/>
            <w:vMerge w:val="continue"/>
            <w:tcBorders>
              <w:top w:val="single" w:color="000000" w:sz="4" w:space="0"/>
              <w:left w:val="single" w:color="000000" w:sz="4" w:space="0"/>
              <w:bottom w:val="nil"/>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nil"/>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nil"/>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双层满板工作台</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张</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73600" behindDoc="0" locked="0" layoutInCell="1" allowOverlap="1">
                  <wp:simplePos x="0" y="0"/>
                  <wp:positionH relativeFrom="column">
                    <wp:posOffset>234950</wp:posOffset>
                  </wp:positionH>
                  <wp:positionV relativeFrom="paragraph">
                    <wp:posOffset>5715</wp:posOffset>
                  </wp:positionV>
                  <wp:extent cx="906145" cy="603885"/>
                  <wp:effectExtent l="0" t="0" r="8255" b="5715"/>
                  <wp:wrapNone/>
                  <wp:docPr id="53" name="图片_18"/>
                  <wp:cNvGraphicFramePr/>
                  <a:graphic xmlns:a="http://schemas.openxmlformats.org/drawingml/2006/main">
                    <a:graphicData uri="http://schemas.openxmlformats.org/drawingml/2006/picture">
                      <pic:pic xmlns:pic="http://schemas.openxmlformats.org/drawingml/2006/picture">
                        <pic:nvPicPr>
                          <pic:cNvPr id="53" name="图片_18"/>
                          <pic:cNvPicPr/>
                        </pic:nvPicPr>
                        <pic:blipFill>
                          <a:blip r:embed="rId21"/>
                          <a:stretch>
                            <a:fillRect/>
                          </a:stretch>
                        </pic:blipFill>
                        <pic:spPr>
                          <a:xfrm>
                            <a:off x="0" y="0"/>
                            <a:ext cx="906145" cy="60388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rPr>
            </w:pPr>
            <w:r>
              <w:rPr>
                <w:rFonts w:hint="eastAsia" w:ascii="宋体" w:hAnsi="宋体" w:cs="宋体"/>
                <w:color w:val="000000"/>
                <w:lang w:bidi="ar"/>
              </w:rPr>
              <w:t>材质：选用优质SUS304-2B不锈钢板制作。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rPr>
            </w:pPr>
            <w:r>
              <w:rPr>
                <w:rFonts w:hint="eastAsia" w:ascii="宋体" w:hAnsi="宋体" w:cs="宋体"/>
                <w:color w:val="000000"/>
                <w:lang w:bidi="ar"/>
              </w:rPr>
              <w:t>台板采用1.2㎜不锈钢板制作.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rPr>
            </w:pPr>
            <w:r>
              <w:rPr>
                <w:rFonts w:hint="eastAsia" w:ascii="宋体" w:hAnsi="宋体" w:cs="宋体"/>
                <w:color w:val="000000"/>
                <w:lang w:bidi="ar"/>
              </w:rPr>
              <w:t>说明：脚采用Φ38圆管制作。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配可调活动子弹脚</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 xml:space="preserve"> 规格：1500×700×800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刀具消毒柜</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92032" behindDoc="0" locked="0" layoutInCell="1" allowOverlap="1">
                  <wp:simplePos x="0" y="0"/>
                  <wp:positionH relativeFrom="column">
                    <wp:posOffset>377825</wp:posOffset>
                  </wp:positionH>
                  <wp:positionV relativeFrom="paragraph">
                    <wp:posOffset>198120</wp:posOffset>
                  </wp:positionV>
                  <wp:extent cx="548005" cy="706120"/>
                  <wp:effectExtent l="0" t="0" r="4445" b="17780"/>
                  <wp:wrapNone/>
                  <wp:docPr id="54" name="图片_19"/>
                  <wp:cNvGraphicFramePr/>
                  <a:graphic xmlns:a="http://schemas.openxmlformats.org/drawingml/2006/main">
                    <a:graphicData uri="http://schemas.openxmlformats.org/drawingml/2006/picture">
                      <pic:pic xmlns:pic="http://schemas.openxmlformats.org/drawingml/2006/picture">
                        <pic:nvPicPr>
                          <pic:cNvPr id="54" name="图片_19"/>
                          <pic:cNvPicPr/>
                        </pic:nvPicPr>
                        <pic:blipFill>
                          <a:blip r:embed="rId22"/>
                          <a:stretch>
                            <a:fillRect/>
                          </a:stretch>
                        </pic:blipFill>
                        <pic:spPr>
                          <a:xfrm>
                            <a:off x="0" y="0"/>
                            <a:ext cx="548005" cy="70612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产地品牌（参照或相当于）：HECMAC、舒文、伯明顿</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型号：FUKKB100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功率：220V/0.15KW</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规格：540×135×646</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四门双机双温冰箱</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94080" behindDoc="0" locked="0" layoutInCell="1" allowOverlap="1">
                  <wp:simplePos x="0" y="0"/>
                  <wp:positionH relativeFrom="column">
                    <wp:posOffset>351155</wp:posOffset>
                  </wp:positionH>
                  <wp:positionV relativeFrom="paragraph">
                    <wp:posOffset>269875</wp:posOffset>
                  </wp:positionV>
                  <wp:extent cx="661670" cy="1242060"/>
                  <wp:effectExtent l="0" t="0" r="5080" b="15240"/>
                  <wp:wrapNone/>
                  <wp:docPr id="55" name="Picture_1091"/>
                  <wp:cNvGraphicFramePr/>
                  <a:graphic xmlns:a="http://schemas.openxmlformats.org/drawingml/2006/main">
                    <a:graphicData uri="http://schemas.openxmlformats.org/drawingml/2006/picture">
                      <pic:pic xmlns:pic="http://schemas.openxmlformats.org/drawingml/2006/picture">
                        <pic:nvPicPr>
                          <pic:cNvPr id="55" name="Picture_1091"/>
                          <pic:cNvPicPr/>
                        </pic:nvPicPr>
                        <pic:blipFill>
                          <a:blip r:embed="rId23"/>
                          <a:stretch>
                            <a:fillRect/>
                          </a:stretch>
                        </pic:blipFill>
                        <pic:spPr>
                          <a:xfrm>
                            <a:off x="0" y="0"/>
                            <a:ext cx="661670" cy="124206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产地品牌（参照或相当于）：美厨、星星、久景</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材质：选用优质不锈钢板制作。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说明：内胆采用不锈钢压花，恒温控制，自动回归</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门，采用优质压缩机低噪音，制冷管为紫铜管.</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规格：1220×760×1950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家用煤气灶（嵌入式）</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双层满板工作台</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张</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74624" behindDoc="0" locked="0" layoutInCell="1" allowOverlap="1">
                  <wp:simplePos x="0" y="0"/>
                  <wp:positionH relativeFrom="column">
                    <wp:posOffset>153670</wp:posOffset>
                  </wp:positionH>
                  <wp:positionV relativeFrom="paragraph">
                    <wp:posOffset>415290</wp:posOffset>
                  </wp:positionV>
                  <wp:extent cx="906145" cy="603885"/>
                  <wp:effectExtent l="0" t="0" r="8255" b="5715"/>
                  <wp:wrapNone/>
                  <wp:docPr id="56" name="图片_26"/>
                  <wp:cNvGraphicFramePr/>
                  <a:graphic xmlns:a="http://schemas.openxmlformats.org/drawingml/2006/main">
                    <a:graphicData uri="http://schemas.openxmlformats.org/drawingml/2006/picture">
                      <pic:pic xmlns:pic="http://schemas.openxmlformats.org/drawingml/2006/picture">
                        <pic:nvPicPr>
                          <pic:cNvPr id="56" name="图片_26"/>
                          <pic:cNvPicPr/>
                        </pic:nvPicPr>
                        <pic:blipFill>
                          <a:blip r:embed="rId24"/>
                          <a:stretch>
                            <a:fillRect/>
                          </a:stretch>
                        </pic:blipFill>
                        <pic:spPr>
                          <a:xfrm>
                            <a:off x="0" y="0"/>
                            <a:ext cx="906145" cy="60388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8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rPr>
            </w:pPr>
            <w:r>
              <w:rPr>
                <w:rFonts w:hint="eastAsia" w:ascii="宋体" w:hAnsi="宋体" w:cs="宋体"/>
                <w:color w:val="000000"/>
                <w:lang w:bidi="ar"/>
              </w:rPr>
              <w:t>材质：选用优质SUS304-2B不锈钢板制作。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rPr>
            </w:pPr>
            <w:r>
              <w:rPr>
                <w:rFonts w:hint="eastAsia" w:ascii="宋体" w:hAnsi="宋体" w:cs="宋体"/>
                <w:color w:val="000000"/>
                <w:lang w:bidi="ar"/>
              </w:rPr>
              <w:t>台板采用1.2㎜不锈钢板制作.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rPr>
            </w:pPr>
            <w:r>
              <w:rPr>
                <w:rFonts w:hint="eastAsia" w:ascii="宋体" w:hAnsi="宋体" w:cs="宋体"/>
                <w:color w:val="000000"/>
                <w:lang w:bidi="ar"/>
              </w:rPr>
              <w:t>说明：脚采用Φ38圆管制作。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配可调活动子弹脚</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 xml:space="preserve"> 规格：1200×800×800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sz w:val="22"/>
                <w:szCs w:val="22"/>
              </w:rPr>
            </w:pPr>
            <w:r>
              <w:rPr>
                <w:rFonts w:hint="eastAsia" w:ascii="宋体" w:hAnsi="宋体" w:cs="宋体"/>
                <w:b/>
                <w:bCs/>
                <w:color w:val="000000"/>
                <w:sz w:val="22"/>
                <w:szCs w:val="22"/>
                <w:lang w:bidi="ar"/>
              </w:rPr>
              <w:t>台式混水厨房龙头</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套</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75648" behindDoc="0" locked="0" layoutInCell="1" allowOverlap="1">
                  <wp:simplePos x="0" y="0"/>
                  <wp:positionH relativeFrom="column">
                    <wp:posOffset>405765</wp:posOffset>
                  </wp:positionH>
                  <wp:positionV relativeFrom="paragraph">
                    <wp:posOffset>280035</wp:posOffset>
                  </wp:positionV>
                  <wp:extent cx="441960" cy="560070"/>
                  <wp:effectExtent l="0" t="0" r="15240" b="11430"/>
                  <wp:wrapNone/>
                  <wp:docPr id="57" name="图片_29"/>
                  <wp:cNvGraphicFramePr/>
                  <a:graphic xmlns:a="http://schemas.openxmlformats.org/drawingml/2006/main">
                    <a:graphicData uri="http://schemas.openxmlformats.org/drawingml/2006/picture">
                      <pic:pic xmlns:pic="http://schemas.openxmlformats.org/drawingml/2006/picture">
                        <pic:nvPicPr>
                          <pic:cNvPr id="57" name="图片_29"/>
                          <pic:cNvPicPr/>
                        </pic:nvPicPr>
                        <pic:blipFill>
                          <a:blip r:embed="rId12"/>
                          <a:stretch>
                            <a:fillRect/>
                          </a:stretch>
                        </pic:blipFill>
                        <pic:spPr>
                          <a:xfrm>
                            <a:off x="0" y="0"/>
                            <a:ext cx="441960" cy="56007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产地品牌（参照或相当于）：埃美柯、天仕、君畅</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6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说明：双孔双把装台面鹅颈龙头，配G1/2′进水接头，出水管中心距145mm，4′对中镀铬镍黄铜本体。</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脱排油烟罩</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平方</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6.8</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76672" behindDoc="0" locked="0" layoutInCell="1" allowOverlap="1">
                  <wp:simplePos x="0" y="0"/>
                  <wp:positionH relativeFrom="column">
                    <wp:posOffset>254000</wp:posOffset>
                  </wp:positionH>
                  <wp:positionV relativeFrom="paragraph">
                    <wp:posOffset>404495</wp:posOffset>
                  </wp:positionV>
                  <wp:extent cx="814705" cy="690880"/>
                  <wp:effectExtent l="0" t="0" r="4445" b="13970"/>
                  <wp:wrapNone/>
                  <wp:docPr id="58" name="Picture_803"/>
                  <wp:cNvGraphicFramePr/>
                  <a:graphic xmlns:a="http://schemas.openxmlformats.org/drawingml/2006/main">
                    <a:graphicData uri="http://schemas.openxmlformats.org/drawingml/2006/picture">
                      <pic:pic xmlns:pic="http://schemas.openxmlformats.org/drawingml/2006/picture">
                        <pic:nvPicPr>
                          <pic:cNvPr id="58" name="Picture_803"/>
                          <pic:cNvPicPr/>
                        </pic:nvPicPr>
                        <pic:blipFill>
                          <a:blip r:embed="rId25"/>
                          <a:stretch>
                            <a:fillRect/>
                          </a:stretch>
                        </pic:blipFill>
                        <pic:spPr>
                          <a:xfrm>
                            <a:off x="0" y="0"/>
                            <a:ext cx="814705" cy="69088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材质：选用优质SUS304-2B不锈钢板制作。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面板采用1.0㎜不锈钢板制作。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说明：配积油杯、防爆灯(滤油板、风机及排烟管另计）。</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规格：（4130+1500）×1200×450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不锈钢油网</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块</w:t>
            </w:r>
          </w:p>
        </w:tc>
        <w:tc>
          <w:tcPr>
            <w:tcW w:w="9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12</w:t>
            </w:r>
          </w:p>
        </w:tc>
        <w:tc>
          <w:tcPr>
            <w:tcW w:w="231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洗地龙头</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套</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77696" behindDoc="0" locked="0" layoutInCell="1" allowOverlap="1">
                  <wp:simplePos x="0" y="0"/>
                  <wp:positionH relativeFrom="column">
                    <wp:posOffset>241300</wp:posOffset>
                  </wp:positionH>
                  <wp:positionV relativeFrom="paragraph">
                    <wp:posOffset>148590</wp:posOffset>
                  </wp:positionV>
                  <wp:extent cx="621030" cy="452120"/>
                  <wp:effectExtent l="0" t="0" r="7620" b="5080"/>
                  <wp:wrapNone/>
                  <wp:docPr id="59" name="图片_2856_SpCnt_1"/>
                  <wp:cNvGraphicFramePr/>
                  <a:graphic xmlns:a="http://schemas.openxmlformats.org/drawingml/2006/main">
                    <a:graphicData uri="http://schemas.openxmlformats.org/drawingml/2006/picture">
                      <pic:pic xmlns:pic="http://schemas.openxmlformats.org/drawingml/2006/picture">
                        <pic:nvPicPr>
                          <pic:cNvPr id="59" name="图片_2856_SpCnt_1"/>
                          <pic:cNvPicPr/>
                        </pic:nvPicPr>
                        <pic:blipFill>
                          <a:blip r:embed="rId26"/>
                          <a:stretch>
                            <a:fillRect/>
                          </a:stretch>
                        </pic:blipFill>
                        <pic:spPr>
                          <a:xfrm>
                            <a:off x="0" y="0"/>
                            <a:ext cx="621030" cy="45212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产地品牌（参照或相当于）：厨镖、佑飞、天仕</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规格：10-12M</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sz w:val="22"/>
                <w:szCs w:val="22"/>
                <w:lang w:bidi="ar"/>
              </w:rPr>
              <w:t>洗碗间</w:t>
            </w:r>
          </w:p>
        </w:tc>
        <w:tc>
          <w:tcPr>
            <w:tcW w:w="36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65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残菜回收台</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78720" behindDoc="0" locked="0" layoutInCell="1" allowOverlap="1">
                  <wp:simplePos x="0" y="0"/>
                  <wp:positionH relativeFrom="column">
                    <wp:posOffset>207645</wp:posOffset>
                  </wp:positionH>
                  <wp:positionV relativeFrom="paragraph">
                    <wp:posOffset>437515</wp:posOffset>
                  </wp:positionV>
                  <wp:extent cx="820420" cy="843280"/>
                  <wp:effectExtent l="0" t="0" r="17780" b="13970"/>
                  <wp:wrapNone/>
                  <wp:docPr id="60" name="图片_2793_SpCnt_1"/>
                  <wp:cNvGraphicFramePr/>
                  <a:graphic xmlns:a="http://schemas.openxmlformats.org/drawingml/2006/main">
                    <a:graphicData uri="http://schemas.openxmlformats.org/drawingml/2006/picture">
                      <pic:pic xmlns:pic="http://schemas.openxmlformats.org/drawingml/2006/picture">
                        <pic:nvPicPr>
                          <pic:cNvPr id="60" name="图片_2793_SpCnt_1"/>
                          <pic:cNvPicPr/>
                        </pic:nvPicPr>
                        <pic:blipFill>
                          <a:blip r:embed="rId27"/>
                          <a:stretch>
                            <a:fillRect/>
                          </a:stretch>
                        </pic:blipFill>
                        <pic:spPr>
                          <a:xfrm>
                            <a:off x="0" y="0"/>
                            <a:ext cx="820420" cy="84328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材质：选用SUS304-2B优质不锈钢管制作。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台板厚度为1.2mm，侧板厚0.8mm不锈钢制造</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圆角模压成型，不锈钢加强档</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φ38mm不锈钢圆通腿</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规格：800×800×800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sz w:val="22"/>
                <w:szCs w:val="22"/>
              </w:rPr>
            </w:pPr>
            <w:r>
              <w:rPr>
                <w:rFonts w:hint="eastAsia" w:ascii="宋体" w:hAnsi="宋体" w:cs="宋体"/>
                <w:b/>
                <w:bCs/>
                <w:color w:val="000000"/>
                <w:sz w:val="22"/>
                <w:szCs w:val="22"/>
                <w:lang w:bidi="ar"/>
              </w:rPr>
              <w:t>L型双星洗碟台</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定制</w:t>
            </w: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材质：选用SUS304-2B优质不锈钢板制作。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台板采用1.2㎜,侧板0.8㎜不锈钢板制作.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说明：圆角模压成型，加强档、筋采用不锈钢制作.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优质落水器及不锈钢可调脚。</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 xml:space="preserve"> 规格：（1930+1750）×800×800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sz w:val="22"/>
                <w:szCs w:val="22"/>
              </w:rPr>
            </w:pPr>
            <w:r>
              <w:rPr>
                <w:rFonts w:hint="eastAsia" w:ascii="宋体" w:hAnsi="宋体" w:cs="宋体"/>
                <w:b/>
                <w:bCs/>
                <w:color w:val="000000"/>
                <w:sz w:val="22"/>
                <w:szCs w:val="22"/>
                <w:lang w:bidi="ar"/>
              </w:rPr>
              <w:t>洗碗机</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79744" behindDoc="0" locked="0" layoutInCell="1" allowOverlap="1">
                  <wp:simplePos x="0" y="0"/>
                  <wp:positionH relativeFrom="column">
                    <wp:posOffset>253365</wp:posOffset>
                  </wp:positionH>
                  <wp:positionV relativeFrom="paragraph">
                    <wp:posOffset>866775</wp:posOffset>
                  </wp:positionV>
                  <wp:extent cx="845185" cy="726440"/>
                  <wp:effectExtent l="0" t="0" r="12065" b="16510"/>
                  <wp:wrapNone/>
                  <wp:docPr id="61" name="图片_65"/>
                  <wp:cNvGraphicFramePr/>
                  <a:graphic xmlns:a="http://schemas.openxmlformats.org/drawingml/2006/main">
                    <a:graphicData uri="http://schemas.openxmlformats.org/drawingml/2006/picture">
                      <pic:pic xmlns:pic="http://schemas.openxmlformats.org/drawingml/2006/picture">
                        <pic:nvPicPr>
                          <pic:cNvPr id="61" name="图片_65"/>
                          <pic:cNvPicPr/>
                        </pic:nvPicPr>
                        <pic:blipFill>
                          <a:blip r:embed="rId28"/>
                          <a:stretch>
                            <a:fillRect/>
                          </a:stretch>
                        </pic:blipFill>
                        <pic:spPr>
                          <a:xfrm>
                            <a:off x="0" y="0"/>
                            <a:ext cx="845185" cy="72644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产地品牌（参照或相当于）：SUPER-WIN、MEIKO、HOBART</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8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型号：SW200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18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说明：电脑数字控制，单键操作，简单可靠；利喷嘴，稳定的水幕分布，减少洗室热量散失，高温清洗设计，去除食物残渣效果更出色，机电控制；高效清洗系统，增加餐具接触水量，去除食物残渣更彻底。</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电功率：380V/48KW</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规格：200筐</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规格：1550×860×1423</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sz w:val="22"/>
                <w:szCs w:val="22"/>
              </w:rPr>
            </w:pPr>
            <w:r>
              <w:rPr>
                <w:rFonts w:hint="eastAsia" w:ascii="宋体" w:hAnsi="宋体" w:cs="宋体"/>
                <w:b/>
                <w:bCs/>
                <w:color w:val="000000"/>
                <w:sz w:val="22"/>
                <w:szCs w:val="22"/>
                <w:lang w:bidi="ar"/>
              </w:rPr>
              <w:t>集气罩</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平方</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2.5</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80768" behindDoc="0" locked="0" layoutInCell="1" allowOverlap="1">
                  <wp:simplePos x="0" y="0"/>
                  <wp:positionH relativeFrom="column">
                    <wp:posOffset>207645</wp:posOffset>
                  </wp:positionH>
                  <wp:positionV relativeFrom="paragraph">
                    <wp:posOffset>153670</wp:posOffset>
                  </wp:positionV>
                  <wp:extent cx="814705" cy="659130"/>
                  <wp:effectExtent l="0" t="0" r="4445" b="7620"/>
                  <wp:wrapNone/>
                  <wp:docPr id="62" name="Picture_803_SpCnt_1"/>
                  <wp:cNvGraphicFramePr/>
                  <a:graphic xmlns:a="http://schemas.openxmlformats.org/drawingml/2006/main">
                    <a:graphicData uri="http://schemas.openxmlformats.org/drawingml/2006/picture">
                      <pic:pic xmlns:pic="http://schemas.openxmlformats.org/drawingml/2006/picture">
                        <pic:nvPicPr>
                          <pic:cNvPr id="62" name="Picture_803_SpCnt_1"/>
                          <pic:cNvPicPr/>
                        </pic:nvPicPr>
                        <pic:blipFill>
                          <a:blip r:embed="rId29"/>
                          <a:stretch>
                            <a:fillRect/>
                          </a:stretch>
                        </pic:blipFill>
                        <pic:spPr>
                          <a:xfrm>
                            <a:off x="0" y="0"/>
                            <a:ext cx="814705" cy="65913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材质：选用优质SUS304-2B不锈钢板制作。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面板采用1.0㎜不锈钢板制作。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说明：配积油杯、防爆灯(滤油板、风机及排烟管另计）。</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规格：2500×1000×450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sz w:val="22"/>
                <w:szCs w:val="22"/>
              </w:rPr>
            </w:pPr>
            <w:r>
              <w:rPr>
                <w:rFonts w:hint="eastAsia" w:ascii="宋体" w:hAnsi="宋体" w:cs="宋体"/>
                <w:b/>
                <w:bCs/>
                <w:color w:val="000000"/>
                <w:sz w:val="22"/>
                <w:szCs w:val="22"/>
                <w:lang w:bidi="ar"/>
              </w:rPr>
              <w:t>花洒龙头</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套</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产地品牌（参照或相当于）：厨镖、佑飞、天仕</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sz w:val="22"/>
                <w:szCs w:val="22"/>
              </w:rPr>
            </w:pPr>
            <w:r>
              <w:rPr>
                <w:rFonts w:hint="eastAsia" w:ascii="宋体" w:hAnsi="宋体" w:cs="宋体"/>
                <w:b/>
                <w:bCs/>
                <w:color w:val="000000"/>
                <w:sz w:val="22"/>
                <w:szCs w:val="22"/>
                <w:lang w:bidi="ar"/>
              </w:rPr>
              <w:t>洁碟台</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81792" behindDoc="0" locked="0" layoutInCell="1" allowOverlap="1">
                  <wp:simplePos x="0" y="0"/>
                  <wp:positionH relativeFrom="column">
                    <wp:posOffset>217170</wp:posOffset>
                  </wp:positionH>
                  <wp:positionV relativeFrom="paragraph">
                    <wp:posOffset>478790</wp:posOffset>
                  </wp:positionV>
                  <wp:extent cx="787400" cy="776605"/>
                  <wp:effectExtent l="0" t="0" r="12700" b="4445"/>
                  <wp:wrapNone/>
                  <wp:docPr id="63" name="图片_94"/>
                  <wp:cNvGraphicFramePr/>
                  <a:graphic xmlns:a="http://schemas.openxmlformats.org/drawingml/2006/main">
                    <a:graphicData uri="http://schemas.openxmlformats.org/drawingml/2006/picture">
                      <pic:pic xmlns:pic="http://schemas.openxmlformats.org/drawingml/2006/picture">
                        <pic:nvPicPr>
                          <pic:cNvPr id="63" name="图片_94"/>
                          <pic:cNvPicPr/>
                        </pic:nvPicPr>
                        <pic:blipFill>
                          <a:blip r:embed="rId30"/>
                          <a:stretch>
                            <a:fillRect/>
                          </a:stretch>
                        </pic:blipFill>
                        <pic:spPr>
                          <a:xfrm>
                            <a:off x="0" y="0"/>
                            <a:ext cx="787400" cy="77660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6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材质：选用优质SUS304-2B不锈钢板制作,面板厚1.2mm,侧板厚0.8mm不锈钢制作。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8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说明：骨架采用Φ38不锈钢管搭制，加强筋、档除外，配不锈钢可调子弹脚</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规格：1200×800×450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四门保洁柜</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2</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82816" behindDoc="0" locked="0" layoutInCell="1" allowOverlap="1">
                  <wp:simplePos x="0" y="0"/>
                  <wp:positionH relativeFrom="column">
                    <wp:posOffset>328295</wp:posOffset>
                  </wp:positionH>
                  <wp:positionV relativeFrom="paragraph">
                    <wp:posOffset>661670</wp:posOffset>
                  </wp:positionV>
                  <wp:extent cx="628650" cy="969645"/>
                  <wp:effectExtent l="0" t="0" r="0" b="1905"/>
                  <wp:wrapNone/>
                  <wp:docPr id="64" name="Picture_1821"/>
                  <wp:cNvGraphicFramePr/>
                  <a:graphic xmlns:a="http://schemas.openxmlformats.org/drawingml/2006/main">
                    <a:graphicData uri="http://schemas.openxmlformats.org/drawingml/2006/picture">
                      <pic:pic xmlns:pic="http://schemas.openxmlformats.org/drawingml/2006/picture">
                        <pic:nvPicPr>
                          <pic:cNvPr id="64" name="Picture_1821"/>
                          <pic:cNvPicPr/>
                        </pic:nvPicPr>
                        <pic:blipFill>
                          <a:blip r:embed="rId31"/>
                          <a:stretch>
                            <a:fillRect/>
                          </a:stretch>
                        </pic:blipFill>
                        <pic:spPr>
                          <a:xfrm>
                            <a:off x="0" y="0"/>
                            <a:ext cx="628650" cy="96964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8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材质：选用优质SUS304-2B不锈钢板制作。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台板采用1.2㎜,侧板0.8㎜不锈钢板制作.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说明：内置四层，加强挡，上下均采用</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不锈钢移门，配置不锈钢可调子弹脚。</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Style w:val="78"/>
                <w:rFonts w:hint="default"/>
                <w:lang w:bidi="ar"/>
              </w:rPr>
              <w:t>规格：</w:t>
            </w:r>
            <w:r>
              <w:rPr>
                <w:rStyle w:val="79"/>
                <w:lang w:bidi="ar"/>
              </w:rPr>
              <w:t>12</w:t>
            </w:r>
            <w:r>
              <w:rPr>
                <w:rStyle w:val="78"/>
                <w:rFonts w:hint="default"/>
                <w:lang w:bidi="ar"/>
              </w:rPr>
              <w:t>00×500×1800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燃气热水器</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83840" behindDoc="0" locked="0" layoutInCell="1" allowOverlap="1">
                  <wp:simplePos x="0" y="0"/>
                  <wp:positionH relativeFrom="column">
                    <wp:posOffset>290195</wp:posOffset>
                  </wp:positionH>
                  <wp:positionV relativeFrom="paragraph">
                    <wp:posOffset>31750</wp:posOffset>
                  </wp:positionV>
                  <wp:extent cx="426720" cy="574675"/>
                  <wp:effectExtent l="0" t="0" r="11430" b="15875"/>
                  <wp:wrapNone/>
                  <wp:docPr id="65" name="图片_51"/>
                  <wp:cNvGraphicFramePr/>
                  <a:graphic xmlns:a="http://schemas.openxmlformats.org/drawingml/2006/main">
                    <a:graphicData uri="http://schemas.openxmlformats.org/drawingml/2006/picture">
                      <pic:pic xmlns:pic="http://schemas.openxmlformats.org/drawingml/2006/picture">
                        <pic:nvPicPr>
                          <pic:cNvPr id="65" name="图片_51"/>
                          <pic:cNvPicPr/>
                        </pic:nvPicPr>
                        <pic:blipFill>
                          <a:blip r:embed="rId32"/>
                          <a:stretch>
                            <a:fillRect/>
                          </a:stretch>
                        </pic:blipFill>
                        <pic:spPr>
                          <a:xfrm>
                            <a:off x="0" y="0"/>
                            <a:ext cx="426720" cy="57467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产地品牌（参照或相当于）：樱花，海尔、美的</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规格：16L</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sz w:val="22"/>
                <w:szCs w:val="22"/>
              </w:rPr>
            </w:pPr>
            <w:r>
              <w:rPr>
                <w:rFonts w:hint="eastAsia" w:ascii="宋体" w:hAnsi="宋体" w:cs="宋体"/>
                <w:b/>
                <w:bCs/>
                <w:color w:val="000000"/>
                <w:sz w:val="22"/>
                <w:szCs w:val="22"/>
                <w:lang w:bidi="ar"/>
              </w:rPr>
              <w:t>台式混水厨房龙头</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套</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2</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84864" behindDoc="0" locked="0" layoutInCell="1" allowOverlap="1">
                  <wp:simplePos x="0" y="0"/>
                  <wp:positionH relativeFrom="column">
                    <wp:posOffset>390525</wp:posOffset>
                  </wp:positionH>
                  <wp:positionV relativeFrom="paragraph">
                    <wp:posOffset>257810</wp:posOffset>
                  </wp:positionV>
                  <wp:extent cx="441960" cy="560070"/>
                  <wp:effectExtent l="0" t="0" r="15240" b="11430"/>
                  <wp:wrapNone/>
                  <wp:docPr id="66" name="图片_48"/>
                  <wp:cNvGraphicFramePr/>
                  <a:graphic xmlns:a="http://schemas.openxmlformats.org/drawingml/2006/main">
                    <a:graphicData uri="http://schemas.openxmlformats.org/drawingml/2006/picture">
                      <pic:pic xmlns:pic="http://schemas.openxmlformats.org/drawingml/2006/picture">
                        <pic:nvPicPr>
                          <pic:cNvPr id="66" name="图片_48"/>
                          <pic:cNvPicPr/>
                        </pic:nvPicPr>
                        <pic:blipFill>
                          <a:blip r:embed="rId12"/>
                          <a:stretch>
                            <a:fillRect/>
                          </a:stretch>
                        </pic:blipFill>
                        <pic:spPr>
                          <a:xfrm>
                            <a:off x="0" y="0"/>
                            <a:ext cx="441960" cy="56007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产地品牌（参照或相当于）：埃美柯、天仕、君畅</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说明：双孔双把装台面鹅颈龙头，配G1/2′进水接头，出水管中心距145mm，4′对中镀铬镍黄铜本体。</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早餐区</w:t>
            </w:r>
          </w:p>
        </w:tc>
        <w:tc>
          <w:tcPr>
            <w:tcW w:w="36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656"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2"/>
                <w:szCs w:val="22"/>
              </w:rPr>
            </w:pPr>
          </w:p>
        </w:tc>
        <w:tc>
          <w:tcPr>
            <w:tcW w:w="2319"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单星洗手池（二次更衣）</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材质：选用SUS304-2B优质不锈钢板制作。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85888" behindDoc="0" locked="0" layoutInCell="1" allowOverlap="1">
                  <wp:simplePos x="0" y="0"/>
                  <wp:positionH relativeFrom="column">
                    <wp:posOffset>3568065</wp:posOffset>
                  </wp:positionH>
                  <wp:positionV relativeFrom="paragraph">
                    <wp:posOffset>128270</wp:posOffset>
                  </wp:positionV>
                  <wp:extent cx="774700" cy="877570"/>
                  <wp:effectExtent l="0" t="0" r="6350" b="17780"/>
                  <wp:wrapNone/>
                  <wp:docPr id="67" name="Picture_1090_SpCnt_2"/>
                  <wp:cNvGraphicFramePr/>
                  <a:graphic xmlns:a="http://schemas.openxmlformats.org/drawingml/2006/main">
                    <a:graphicData uri="http://schemas.openxmlformats.org/drawingml/2006/picture">
                      <pic:pic xmlns:pic="http://schemas.openxmlformats.org/drawingml/2006/picture">
                        <pic:nvPicPr>
                          <pic:cNvPr id="67" name="Picture_1090_SpCnt_2"/>
                          <pic:cNvPicPr/>
                        </pic:nvPicPr>
                        <pic:blipFill>
                          <a:blip r:embed="rId33"/>
                          <a:stretch>
                            <a:fillRect/>
                          </a:stretch>
                        </pic:blipFill>
                        <pic:spPr>
                          <a:xfrm>
                            <a:off x="0" y="0"/>
                            <a:ext cx="774700" cy="877570"/>
                          </a:xfrm>
                          <a:prstGeom prst="rect">
                            <a:avLst/>
                          </a:prstGeom>
                          <a:noFill/>
                          <a:ln>
                            <a:noFill/>
                          </a:ln>
                        </pic:spPr>
                      </pic:pic>
                    </a:graphicData>
                  </a:graphic>
                </wp:anchor>
              </w:drawing>
            </w:r>
            <w:r>
              <w:rPr>
                <w:rFonts w:hint="eastAsia" w:ascii="宋体" w:hAnsi="宋体" w:cs="宋体"/>
                <w:color w:val="000000"/>
                <w:sz w:val="22"/>
                <w:szCs w:val="22"/>
                <w:lang w:bidi="ar"/>
              </w:rPr>
              <w:t>台板采用1.2㎜,侧板0.8㎜不锈钢板制作.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说明：圆角模压成型，加强档、筋采用不锈钢制作.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优质落水器及不锈钢可调脚。</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 xml:space="preserve"> 规格：300×300×800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感应龙头</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套</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产地品牌（参照或相当于）：埃美柯、天仕、君畅</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电蒸台（四眼，蒸笼自备）</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86912" behindDoc="0" locked="0" layoutInCell="1" allowOverlap="1">
                  <wp:simplePos x="0" y="0"/>
                  <wp:positionH relativeFrom="column">
                    <wp:posOffset>287655</wp:posOffset>
                  </wp:positionH>
                  <wp:positionV relativeFrom="paragraph">
                    <wp:posOffset>129540</wp:posOffset>
                  </wp:positionV>
                  <wp:extent cx="686435" cy="1153160"/>
                  <wp:effectExtent l="0" t="0" r="18415" b="8890"/>
                  <wp:wrapNone/>
                  <wp:docPr id="68" name="Picture_1811"/>
                  <wp:cNvGraphicFramePr/>
                  <a:graphic xmlns:a="http://schemas.openxmlformats.org/drawingml/2006/main">
                    <a:graphicData uri="http://schemas.openxmlformats.org/drawingml/2006/picture">
                      <pic:pic xmlns:pic="http://schemas.openxmlformats.org/drawingml/2006/picture">
                        <pic:nvPicPr>
                          <pic:cNvPr id="68" name="Picture_1811"/>
                          <pic:cNvPicPr/>
                        </pic:nvPicPr>
                        <pic:blipFill>
                          <a:blip r:embed="rId34"/>
                          <a:stretch>
                            <a:fillRect/>
                          </a:stretch>
                        </pic:blipFill>
                        <pic:spPr>
                          <a:xfrm>
                            <a:off x="0" y="0"/>
                            <a:ext cx="686435" cy="115316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材质：选用优质不锈钢板制作。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内板采用1.0㎜,外板0.8㎜不锈钢板制作.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功率：380V/12KW</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规格：650×650×700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电蒸台（木桶自备）</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87936" behindDoc="0" locked="0" layoutInCell="1" allowOverlap="1">
                  <wp:simplePos x="0" y="0"/>
                  <wp:positionH relativeFrom="column">
                    <wp:posOffset>205740</wp:posOffset>
                  </wp:positionH>
                  <wp:positionV relativeFrom="paragraph">
                    <wp:posOffset>216535</wp:posOffset>
                  </wp:positionV>
                  <wp:extent cx="773430" cy="1021715"/>
                  <wp:effectExtent l="0" t="0" r="7620" b="6985"/>
                  <wp:wrapNone/>
                  <wp:docPr id="69" name="Picture_1811_SpCnt_1"/>
                  <wp:cNvGraphicFramePr/>
                  <a:graphic xmlns:a="http://schemas.openxmlformats.org/drawingml/2006/main">
                    <a:graphicData uri="http://schemas.openxmlformats.org/drawingml/2006/picture">
                      <pic:pic xmlns:pic="http://schemas.openxmlformats.org/drawingml/2006/picture">
                        <pic:nvPicPr>
                          <pic:cNvPr id="69" name="Picture_1811_SpCnt_1"/>
                          <pic:cNvPicPr/>
                        </pic:nvPicPr>
                        <pic:blipFill>
                          <a:blip r:embed="rId34"/>
                          <a:stretch>
                            <a:fillRect/>
                          </a:stretch>
                        </pic:blipFill>
                        <pic:spPr>
                          <a:xfrm>
                            <a:off x="0" y="0"/>
                            <a:ext cx="773430" cy="102171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材质：选用优质不锈钢板制作。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内板采用1.0㎜,外板0.8㎜不锈钢板制作.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功率：380V/12KW</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规格：650×650×700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六眼煮面炉连汤池</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88960" behindDoc="0" locked="0" layoutInCell="1" allowOverlap="1">
                  <wp:simplePos x="0" y="0"/>
                  <wp:positionH relativeFrom="column">
                    <wp:posOffset>172085</wp:posOffset>
                  </wp:positionH>
                  <wp:positionV relativeFrom="paragraph">
                    <wp:posOffset>401320</wp:posOffset>
                  </wp:positionV>
                  <wp:extent cx="883920" cy="805815"/>
                  <wp:effectExtent l="0" t="0" r="11430" b="13335"/>
                  <wp:wrapNone/>
                  <wp:docPr id="70" name="图片_32"/>
                  <wp:cNvGraphicFramePr/>
                  <a:graphic xmlns:a="http://schemas.openxmlformats.org/drawingml/2006/main">
                    <a:graphicData uri="http://schemas.openxmlformats.org/drawingml/2006/picture">
                      <pic:pic xmlns:pic="http://schemas.openxmlformats.org/drawingml/2006/picture">
                        <pic:nvPicPr>
                          <pic:cNvPr id="70" name="图片_32"/>
                          <pic:cNvPicPr/>
                        </pic:nvPicPr>
                        <pic:blipFill>
                          <a:blip r:embed="rId35"/>
                          <a:stretch>
                            <a:fillRect/>
                          </a:stretch>
                        </pic:blipFill>
                        <pic:spPr>
                          <a:xfrm>
                            <a:off x="0" y="0"/>
                            <a:ext cx="883920" cy="80581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产地品牌（参照或相当于）：汇利、佳斯特、喜玛特</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说明：喷流式设计，令加温迅速，节省能源；带水龙头，采用</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1.2mm不锈钢板加工；操作台面高度更合理，让使用者更简便、</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安全；超大容量汤盘，节能设计；</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功率：220V/2.3KW*4</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规格：960×700×905</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全自动煎饺机</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89984" behindDoc="0" locked="0" layoutInCell="1" allowOverlap="1">
                  <wp:simplePos x="0" y="0"/>
                  <wp:positionH relativeFrom="column">
                    <wp:posOffset>71120</wp:posOffset>
                  </wp:positionH>
                  <wp:positionV relativeFrom="paragraph">
                    <wp:posOffset>218440</wp:posOffset>
                  </wp:positionV>
                  <wp:extent cx="876935" cy="534670"/>
                  <wp:effectExtent l="0" t="0" r="18415" b="17780"/>
                  <wp:wrapNone/>
                  <wp:docPr id="71" name="图片_35"/>
                  <wp:cNvGraphicFramePr/>
                  <a:graphic xmlns:a="http://schemas.openxmlformats.org/drawingml/2006/main">
                    <a:graphicData uri="http://schemas.openxmlformats.org/drawingml/2006/picture">
                      <pic:pic xmlns:pic="http://schemas.openxmlformats.org/drawingml/2006/picture">
                        <pic:nvPicPr>
                          <pic:cNvPr id="71" name="图片_35"/>
                          <pic:cNvPicPr/>
                        </pic:nvPicPr>
                        <pic:blipFill>
                          <a:blip r:embed="rId36"/>
                          <a:stretch>
                            <a:fillRect/>
                          </a:stretch>
                        </pic:blipFill>
                        <pic:spPr>
                          <a:xfrm>
                            <a:off x="0" y="0"/>
                            <a:ext cx="876935" cy="53467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型号：PP-1</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功率：220V/3KW</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规格：590×300×280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调料平台</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材质：选用SUS304-2B优质不锈钢板</w:t>
            </w:r>
            <w:r>
              <w:rPr>
                <w:rFonts w:hint="eastAsia" w:ascii="宋体" w:hAnsi="宋体" w:cs="宋体"/>
                <w:color w:val="000000"/>
                <w:sz w:val="22"/>
                <w:szCs w:val="22"/>
                <w:bdr w:val="single" w:color="000000" w:sz="4" w:space="0"/>
                <w:lang w:bidi="ar"/>
              </w:rPr>
              <w:drawing>
                <wp:anchor distT="0" distB="0" distL="114300" distR="114300" simplePos="0" relativeHeight="251691008" behindDoc="0" locked="0" layoutInCell="1" allowOverlap="1">
                  <wp:simplePos x="0" y="0"/>
                  <wp:positionH relativeFrom="column">
                    <wp:posOffset>3597275</wp:posOffset>
                  </wp:positionH>
                  <wp:positionV relativeFrom="paragraph">
                    <wp:posOffset>57785</wp:posOffset>
                  </wp:positionV>
                  <wp:extent cx="721360" cy="1278890"/>
                  <wp:effectExtent l="0" t="0" r="2540" b="16510"/>
                  <wp:wrapNone/>
                  <wp:docPr id="72" name="Picture_1781_SpCnt_1"/>
                  <wp:cNvGraphicFramePr/>
                  <a:graphic xmlns:a="http://schemas.openxmlformats.org/drawingml/2006/main">
                    <a:graphicData uri="http://schemas.openxmlformats.org/drawingml/2006/picture">
                      <pic:pic xmlns:pic="http://schemas.openxmlformats.org/drawingml/2006/picture">
                        <pic:nvPicPr>
                          <pic:cNvPr id="72" name="Picture_1781_SpCnt_1"/>
                          <pic:cNvPicPr/>
                        </pic:nvPicPr>
                        <pic:blipFill>
                          <a:blip r:embed="rId37"/>
                          <a:stretch>
                            <a:fillRect/>
                          </a:stretch>
                        </pic:blipFill>
                        <pic:spPr>
                          <a:xfrm>
                            <a:off x="0" y="0"/>
                            <a:ext cx="721360" cy="1278890"/>
                          </a:xfrm>
                          <a:prstGeom prst="rect">
                            <a:avLst/>
                          </a:prstGeom>
                          <a:noFill/>
                          <a:ln>
                            <a:noFill/>
                          </a:ln>
                        </pic:spPr>
                      </pic:pic>
                    </a:graphicData>
                  </a:graphic>
                </wp:anchor>
              </w:drawing>
            </w:r>
            <w:r>
              <w:rPr>
                <w:rFonts w:hint="eastAsia" w:ascii="宋体" w:hAnsi="宋体" w:cs="宋体"/>
                <w:color w:val="000000"/>
                <w:sz w:val="22"/>
                <w:szCs w:val="22"/>
                <w:lang w:bidi="ar"/>
              </w:rPr>
              <w:t>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台板厚1.2㎜不锈钢板制作.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说明：骨架采用Φ38不锈钢管搭制，加强筋，</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配不锈钢可调子弹脚。</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规格：500×800×800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商用电磁单眼炒灶</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92032" behindDoc="0" locked="0" layoutInCell="1" allowOverlap="1">
                  <wp:simplePos x="0" y="0"/>
                  <wp:positionH relativeFrom="column">
                    <wp:posOffset>164465</wp:posOffset>
                  </wp:positionH>
                  <wp:positionV relativeFrom="paragraph">
                    <wp:posOffset>678815</wp:posOffset>
                  </wp:positionV>
                  <wp:extent cx="924560" cy="896620"/>
                  <wp:effectExtent l="0" t="0" r="8890" b="17780"/>
                  <wp:wrapNone/>
                  <wp:docPr id="3" name="图片_37"/>
                  <wp:cNvGraphicFramePr/>
                  <a:graphic xmlns:a="http://schemas.openxmlformats.org/drawingml/2006/main">
                    <a:graphicData uri="http://schemas.openxmlformats.org/drawingml/2006/picture">
                      <pic:pic xmlns:pic="http://schemas.openxmlformats.org/drawingml/2006/picture">
                        <pic:nvPicPr>
                          <pic:cNvPr id="3" name="图片_37"/>
                          <pic:cNvPicPr/>
                        </pic:nvPicPr>
                        <pic:blipFill>
                          <a:blip r:embed="rId38"/>
                          <a:stretch>
                            <a:fillRect/>
                          </a:stretch>
                        </pic:blipFill>
                        <pic:spPr>
                          <a:xfrm>
                            <a:off x="0" y="0"/>
                            <a:ext cx="924560" cy="89662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材质：选用优质不锈钢板制作。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高效:升温快,热效率高达90%以上</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安全:超温保护,自动故障检测,电压过(高、低）</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及缺相保护，节能：比普通燃气/油灶节能50%以上</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环保：无明火，无烟尘，无废气，低噪音，清洁卫生，</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优化厨房环境</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功率:380V15KW</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规格：1000×800×800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双层满板工作台</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张</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93056" behindDoc="0" locked="0" layoutInCell="1" allowOverlap="1">
                  <wp:simplePos x="0" y="0"/>
                  <wp:positionH relativeFrom="column">
                    <wp:posOffset>73025</wp:posOffset>
                  </wp:positionH>
                  <wp:positionV relativeFrom="paragraph">
                    <wp:posOffset>302260</wp:posOffset>
                  </wp:positionV>
                  <wp:extent cx="906145" cy="603885"/>
                  <wp:effectExtent l="0" t="0" r="8255" b="5715"/>
                  <wp:wrapNone/>
                  <wp:docPr id="4" name="图片_38"/>
                  <wp:cNvGraphicFramePr/>
                  <a:graphic xmlns:a="http://schemas.openxmlformats.org/drawingml/2006/main">
                    <a:graphicData uri="http://schemas.openxmlformats.org/drawingml/2006/picture">
                      <pic:pic xmlns:pic="http://schemas.openxmlformats.org/drawingml/2006/picture">
                        <pic:nvPicPr>
                          <pic:cNvPr id="4" name="图片_38"/>
                          <pic:cNvPicPr/>
                        </pic:nvPicPr>
                        <pic:blipFill>
                          <a:blip r:embed="rId21"/>
                          <a:stretch>
                            <a:fillRect/>
                          </a:stretch>
                        </pic:blipFill>
                        <pic:spPr>
                          <a:xfrm>
                            <a:off x="0" y="0"/>
                            <a:ext cx="906145" cy="60388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rPr>
            </w:pPr>
            <w:r>
              <w:rPr>
                <w:rFonts w:hint="eastAsia" w:ascii="宋体" w:hAnsi="宋体" w:cs="宋体"/>
                <w:color w:val="000000"/>
                <w:lang w:bidi="ar"/>
              </w:rPr>
              <w:t>材质：选用优质SUS304-2B不锈钢板制作。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rPr>
            </w:pPr>
            <w:r>
              <w:rPr>
                <w:rFonts w:hint="eastAsia" w:ascii="宋体" w:hAnsi="宋体" w:cs="宋体"/>
                <w:color w:val="000000"/>
                <w:lang w:bidi="ar"/>
              </w:rPr>
              <w:t>台板采用1.2㎜不锈钢板制作.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rPr>
            </w:pPr>
            <w:r>
              <w:rPr>
                <w:rFonts w:hint="eastAsia" w:ascii="宋体" w:hAnsi="宋体" w:cs="宋体"/>
                <w:color w:val="000000"/>
                <w:lang w:bidi="ar"/>
              </w:rPr>
              <w:t>说明：脚采用Φ38圆管制作。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配可调活动子弹脚</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 xml:space="preserve"> 规格：2000×500×800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打包台柜</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93056" behindDoc="0" locked="0" layoutInCell="1" allowOverlap="1">
                  <wp:simplePos x="0" y="0"/>
                  <wp:positionH relativeFrom="column">
                    <wp:posOffset>271780</wp:posOffset>
                  </wp:positionH>
                  <wp:positionV relativeFrom="paragraph">
                    <wp:posOffset>812165</wp:posOffset>
                  </wp:positionV>
                  <wp:extent cx="776605" cy="965835"/>
                  <wp:effectExtent l="0" t="0" r="4445" b="5715"/>
                  <wp:wrapNone/>
                  <wp:docPr id="5" name="Picture_1786"/>
                  <wp:cNvGraphicFramePr/>
                  <a:graphic xmlns:a="http://schemas.openxmlformats.org/drawingml/2006/main">
                    <a:graphicData uri="http://schemas.openxmlformats.org/drawingml/2006/picture">
                      <pic:pic xmlns:pic="http://schemas.openxmlformats.org/drawingml/2006/picture">
                        <pic:nvPicPr>
                          <pic:cNvPr id="5" name="Picture_1786"/>
                          <pic:cNvPicPr/>
                        </pic:nvPicPr>
                        <pic:blipFill>
                          <a:blip r:embed="rId39"/>
                          <a:stretch>
                            <a:fillRect/>
                          </a:stretch>
                        </pic:blipFill>
                        <pic:spPr>
                          <a:xfrm>
                            <a:off x="0" y="0"/>
                            <a:ext cx="776605" cy="96583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材质：选用SUS304-2B优质不锈钢板制作。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台板采用1.2㎜,侧板0.8㎜不锈钢板制作.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718"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说明：单边开门，加强筋、档采用不锈钢制作，采用</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53"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不锈钢移门，配不锈钢可调子弹脚。</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957"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规格：1800×600×800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商用豆浆机</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产地品牌（参照或相当于）：禾元、</w:t>
            </w:r>
            <w:r>
              <w:rPr>
                <w:rFonts w:hint="eastAsia" w:ascii="宋体" w:hAnsi="宋体" w:cs="宋体"/>
                <w:color w:val="000000"/>
                <w:sz w:val="22"/>
                <w:szCs w:val="22"/>
                <w:bdr w:val="single" w:color="000000" w:sz="4" w:space="0"/>
                <w:lang w:bidi="ar"/>
              </w:rPr>
              <w:drawing>
                <wp:anchor distT="0" distB="0" distL="114300" distR="114300" simplePos="0" relativeHeight="251694080" behindDoc="0" locked="0" layoutInCell="1" allowOverlap="1">
                  <wp:simplePos x="0" y="0"/>
                  <wp:positionH relativeFrom="column">
                    <wp:posOffset>3772535</wp:posOffset>
                  </wp:positionH>
                  <wp:positionV relativeFrom="paragraph">
                    <wp:posOffset>-20320</wp:posOffset>
                  </wp:positionV>
                  <wp:extent cx="553085" cy="882015"/>
                  <wp:effectExtent l="0" t="0" r="18415" b="13335"/>
                  <wp:wrapNone/>
                  <wp:docPr id="6" name="图片_40"/>
                  <wp:cNvGraphicFramePr/>
                  <a:graphic xmlns:a="http://schemas.openxmlformats.org/drawingml/2006/main">
                    <a:graphicData uri="http://schemas.openxmlformats.org/drawingml/2006/picture">
                      <pic:pic xmlns:pic="http://schemas.openxmlformats.org/drawingml/2006/picture">
                        <pic:nvPicPr>
                          <pic:cNvPr id="6" name="图片_40"/>
                          <pic:cNvPicPr/>
                        </pic:nvPicPr>
                        <pic:blipFill>
                          <a:blip r:embed="rId40"/>
                          <a:stretch>
                            <a:fillRect/>
                          </a:stretch>
                        </pic:blipFill>
                        <pic:spPr>
                          <a:xfrm>
                            <a:off x="0" y="0"/>
                            <a:ext cx="553085" cy="882015"/>
                          </a:xfrm>
                          <a:prstGeom prst="rect">
                            <a:avLst/>
                          </a:prstGeom>
                          <a:noFill/>
                          <a:ln>
                            <a:noFill/>
                          </a:ln>
                        </pic:spPr>
                      </pic:pic>
                    </a:graphicData>
                  </a:graphic>
                </wp:anchor>
              </w:drawing>
            </w:r>
            <w:r>
              <w:rPr>
                <w:rFonts w:hint="eastAsia" w:ascii="宋体" w:hAnsi="宋体" w:cs="宋体"/>
                <w:color w:val="000000"/>
                <w:sz w:val="22"/>
                <w:szCs w:val="22"/>
                <w:lang w:bidi="ar"/>
              </w:rPr>
              <w:t>恒联、苏泊尔</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编号：G35</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电率：220V5KW</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生产容量：15-35L</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规格：570×430×1220（含架）</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单星水池</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95104" behindDoc="0" locked="0" layoutInCell="1" allowOverlap="1">
                  <wp:simplePos x="0" y="0"/>
                  <wp:positionH relativeFrom="column">
                    <wp:posOffset>267335</wp:posOffset>
                  </wp:positionH>
                  <wp:positionV relativeFrom="paragraph">
                    <wp:posOffset>273050</wp:posOffset>
                  </wp:positionV>
                  <wp:extent cx="774700" cy="1391920"/>
                  <wp:effectExtent l="0" t="0" r="6350" b="17780"/>
                  <wp:wrapNone/>
                  <wp:docPr id="7" name="Picture_1090_SpCnt_3"/>
                  <wp:cNvGraphicFramePr/>
                  <a:graphic xmlns:a="http://schemas.openxmlformats.org/drawingml/2006/main">
                    <a:graphicData uri="http://schemas.openxmlformats.org/drawingml/2006/picture">
                      <pic:pic xmlns:pic="http://schemas.openxmlformats.org/drawingml/2006/picture">
                        <pic:nvPicPr>
                          <pic:cNvPr id="7" name="Picture_1090_SpCnt_3"/>
                          <pic:cNvPicPr/>
                        </pic:nvPicPr>
                        <pic:blipFill>
                          <a:blip r:embed="rId14"/>
                          <a:stretch>
                            <a:fillRect/>
                          </a:stretch>
                        </pic:blipFill>
                        <pic:spPr>
                          <a:xfrm>
                            <a:off x="0" y="0"/>
                            <a:ext cx="774700" cy="139192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材质：选用SUS304-2B优质不锈钢板制作。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台板采用1.2㎜,侧板0.8㎜不锈钢板制作.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说明：圆角模压成型，加强档、筋采用不锈钢制作.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优质落水器及不锈钢可调脚。</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规格：600×600×800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工作柜</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96128" behindDoc="0" locked="0" layoutInCell="1" allowOverlap="1">
                  <wp:simplePos x="0" y="0"/>
                  <wp:positionH relativeFrom="column">
                    <wp:posOffset>234315</wp:posOffset>
                  </wp:positionH>
                  <wp:positionV relativeFrom="paragraph">
                    <wp:posOffset>635000</wp:posOffset>
                  </wp:positionV>
                  <wp:extent cx="776605" cy="902335"/>
                  <wp:effectExtent l="0" t="0" r="4445" b="12065"/>
                  <wp:wrapNone/>
                  <wp:docPr id="8" name="Picture_1786_SpCnt_1"/>
                  <wp:cNvGraphicFramePr/>
                  <a:graphic xmlns:a="http://schemas.openxmlformats.org/drawingml/2006/main">
                    <a:graphicData uri="http://schemas.openxmlformats.org/drawingml/2006/picture">
                      <pic:pic xmlns:pic="http://schemas.openxmlformats.org/drawingml/2006/picture">
                        <pic:nvPicPr>
                          <pic:cNvPr id="8" name="Picture_1786_SpCnt_1"/>
                          <pic:cNvPicPr/>
                        </pic:nvPicPr>
                        <pic:blipFill>
                          <a:blip r:embed="rId41"/>
                          <a:stretch>
                            <a:fillRect/>
                          </a:stretch>
                        </pic:blipFill>
                        <pic:spPr>
                          <a:xfrm>
                            <a:off x="0" y="0"/>
                            <a:ext cx="776605" cy="90233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材质：选用SUS304-2B优质不锈钢板制作。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台板采用1.2㎜,侧板0.8㎜不锈钢板制作.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说明：单边开门，加强筋、档采用不锈钢制作，采用</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不锈钢移门，配不锈钢可调子弹脚。</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规格：1000×600×800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sz w:val="22"/>
                <w:szCs w:val="22"/>
              </w:rPr>
            </w:pPr>
            <w:r>
              <w:rPr>
                <w:rFonts w:hint="eastAsia" w:ascii="宋体" w:hAnsi="宋体" w:cs="宋体"/>
                <w:b/>
                <w:bCs/>
                <w:color w:val="000000"/>
                <w:sz w:val="22"/>
                <w:szCs w:val="22"/>
                <w:lang w:bidi="ar"/>
              </w:rPr>
              <w:t>台式混水厨房龙头</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套</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98176" behindDoc="0" locked="0" layoutInCell="1" allowOverlap="1">
                  <wp:simplePos x="0" y="0"/>
                  <wp:positionH relativeFrom="column">
                    <wp:posOffset>364490</wp:posOffset>
                  </wp:positionH>
                  <wp:positionV relativeFrom="paragraph">
                    <wp:posOffset>226060</wp:posOffset>
                  </wp:positionV>
                  <wp:extent cx="441960" cy="560070"/>
                  <wp:effectExtent l="0" t="0" r="15240" b="11430"/>
                  <wp:wrapNone/>
                  <wp:docPr id="10" name="图片_42"/>
                  <wp:cNvGraphicFramePr/>
                  <a:graphic xmlns:a="http://schemas.openxmlformats.org/drawingml/2006/main">
                    <a:graphicData uri="http://schemas.openxmlformats.org/drawingml/2006/picture">
                      <pic:pic xmlns:pic="http://schemas.openxmlformats.org/drawingml/2006/picture">
                        <pic:nvPicPr>
                          <pic:cNvPr id="10" name="图片_42"/>
                          <pic:cNvPicPr/>
                        </pic:nvPicPr>
                        <pic:blipFill>
                          <a:blip r:embed="rId15"/>
                          <a:stretch>
                            <a:fillRect/>
                          </a:stretch>
                        </pic:blipFill>
                        <pic:spPr>
                          <a:xfrm>
                            <a:off x="0" y="0"/>
                            <a:ext cx="441960" cy="56007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产地品牌（参照或相当于）：埃美柯、天仕、君畅</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81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说明：双孔双把装台面鹅颈龙头，配G1/2′进水接头，出水管中心距145mm，4′对中镀铬镍黄铜本体。</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75"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脱排油烟罩</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平方</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4.4</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464"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97152" behindDoc="0" locked="0" layoutInCell="1" allowOverlap="1">
                  <wp:simplePos x="0" y="0"/>
                  <wp:positionH relativeFrom="column">
                    <wp:posOffset>3632200</wp:posOffset>
                  </wp:positionH>
                  <wp:positionV relativeFrom="paragraph">
                    <wp:posOffset>94615</wp:posOffset>
                  </wp:positionV>
                  <wp:extent cx="789305" cy="791210"/>
                  <wp:effectExtent l="0" t="0" r="10795" b="8890"/>
                  <wp:wrapNone/>
                  <wp:docPr id="9" name="Picture_803_SpCnt_2"/>
                  <wp:cNvGraphicFramePr/>
                  <a:graphic xmlns:a="http://schemas.openxmlformats.org/drawingml/2006/main">
                    <a:graphicData uri="http://schemas.openxmlformats.org/drawingml/2006/picture">
                      <pic:pic xmlns:pic="http://schemas.openxmlformats.org/drawingml/2006/picture">
                        <pic:nvPicPr>
                          <pic:cNvPr id="9" name="Picture_803_SpCnt_2"/>
                          <pic:cNvPicPr/>
                        </pic:nvPicPr>
                        <pic:blipFill>
                          <a:blip r:embed="rId42"/>
                          <a:stretch>
                            <a:fillRect/>
                          </a:stretch>
                        </pic:blipFill>
                        <pic:spPr>
                          <a:xfrm>
                            <a:off x="0" y="0"/>
                            <a:ext cx="789305" cy="791210"/>
                          </a:xfrm>
                          <a:prstGeom prst="rect">
                            <a:avLst/>
                          </a:prstGeom>
                          <a:noFill/>
                          <a:ln>
                            <a:noFill/>
                          </a:ln>
                        </pic:spPr>
                      </pic:pic>
                    </a:graphicData>
                  </a:graphic>
                </wp:anchor>
              </w:drawing>
            </w:r>
            <w:r>
              <w:rPr>
                <w:rFonts w:hint="eastAsia" w:ascii="宋体" w:hAnsi="宋体" w:cs="宋体"/>
                <w:color w:val="000000"/>
                <w:sz w:val="22"/>
                <w:szCs w:val="22"/>
                <w:lang w:bidi="ar"/>
              </w:rPr>
              <w:t>材质：选用SUS304-2B优质不锈钢板制作。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63"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面板采用1.0㎜不锈钢板制作。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说明：配积油杯、防爆灯(滤油板、风机及排烟管另计）。</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87"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规格：4400×1000×450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1705"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不锈钢油网</w:t>
            </w:r>
          </w:p>
        </w:tc>
        <w:tc>
          <w:tcPr>
            <w:tcW w:w="6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块</w:t>
            </w:r>
          </w:p>
        </w:tc>
        <w:tc>
          <w:tcPr>
            <w:tcW w:w="90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9</w:t>
            </w:r>
          </w:p>
        </w:tc>
        <w:tc>
          <w:tcPr>
            <w:tcW w:w="231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630" w:hRule="atLeast"/>
        </w:trPr>
        <w:tc>
          <w:tcPr>
            <w:tcW w:w="1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sz w:val="22"/>
                <w:szCs w:val="22"/>
                <w:lang w:bidi="ar"/>
              </w:rPr>
              <w:t>打菜区</w:t>
            </w:r>
          </w:p>
        </w:tc>
        <w:tc>
          <w:tcPr>
            <w:tcW w:w="36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656"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2"/>
                <w:szCs w:val="22"/>
              </w:rPr>
            </w:pPr>
          </w:p>
        </w:tc>
        <w:tc>
          <w:tcPr>
            <w:tcW w:w="2319"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四斗保温台</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4</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699200" behindDoc="0" locked="0" layoutInCell="1" allowOverlap="1">
                  <wp:simplePos x="0" y="0"/>
                  <wp:positionH relativeFrom="column">
                    <wp:posOffset>175260</wp:posOffset>
                  </wp:positionH>
                  <wp:positionV relativeFrom="paragraph">
                    <wp:posOffset>712470</wp:posOffset>
                  </wp:positionV>
                  <wp:extent cx="901700" cy="647065"/>
                  <wp:effectExtent l="0" t="0" r="12700" b="635"/>
                  <wp:wrapNone/>
                  <wp:docPr id="11" name="图片_27"/>
                  <wp:cNvGraphicFramePr/>
                  <a:graphic xmlns:a="http://schemas.openxmlformats.org/drawingml/2006/main">
                    <a:graphicData uri="http://schemas.openxmlformats.org/drawingml/2006/picture">
                      <pic:pic xmlns:pic="http://schemas.openxmlformats.org/drawingml/2006/picture">
                        <pic:nvPicPr>
                          <pic:cNvPr id="11" name="图片_27"/>
                          <pic:cNvPicPr/>
                        </pic:nvPicPr>
                        <pic:blipFill>
                          <a:blip r:embed="rId43"/>
                          <a:stretch>
                            <a:fillRect/>
                          </a:stretch>
                        </pic:blipFill>
                        <pic:spPr>
                          <a:xfrm>
                            <a:off x="0" y="0"/>
                            <a:ext cx="901700" cy="64706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材质：选用优质SUS304-2B不锈钢板制作。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台板采用1.2㎜,侧板0.8㎜不锈钢板制作.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德国进口温控，4KW 220V型电热管，脚采用Φ38</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圆管制作。配可调活动子弹脚.配斗4个</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规格：1300×500×800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六斗保温台</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00224" behindDoc="0" locked="0" layoutInCell="1" allowOverlap="1">
                  <wp:simplePos x="0" y="0"/>
                  <wp:positionH relativeFrom="column">
                    <wp:posOffset>160655</wp:posOffset>
                  </wp:positionH>
                  <wp:positionV relativeFrom="paragraph">
                    <wp:posOffset>771525</wp:posOffset>
                  </wp:positionV>
                  <wp:extent cx="901700" cy="647065"/>
                  <wp:effectExtent l="0" t="0" r="12700" b="635"/>
                  <wp:wrapNone/>
                  <wp:docPr id="12" name="图片_33"/>
                  <wp:cNvGraphicFramePr/>
                  <a:graphic xmlns:a="http://schemas.openxmlformats.org/drawingml/2006/main">
                    <a:graphicData uri="http://schemas.openxmlformats.org/drawingml/2006/picture">
                      <pic:pic xmlns:pic="http://schemas.openxmlformats.org/drawingml/2006/picture">
                        <pic:nvPicPr>
                          <pic:cNvPr id="12" name="图片_33"/>
                          <pic:cNvPicPr/>
                        </pic:nvPicPr>
                        <pic:blipFill>
                          <a:blip r:embed="rId44"/>
                          <a:stretch>
                            <a:fillRect/>
                          </a:stretch>
                        </pic:blipFill>
                        <pic:spPr>
                          <a:xfrm>
                            <a:off x="0" y="0"/>
                            <a:ext cx="901700" cy="64706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材质：选用优质SUS304-2B不锈钢板制作。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台板采用1.2㎜,侧板0.8㎜不锈钢板制作.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德国进口温控，4KW 220V型电热管，脚采用Φ38</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圆管制作。配可调活动子弹脚.配斗4个</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规格：1100×900×800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工作台柜</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01248" behindDoc="0" locked="0" layoutInCell="1" allowOverlap="1">
                  <wp:simplePos x="0" y="0"/>
                  <wp:positionH relativeFrom="column">
                    <wp:posOffset>268605</wp:posOffset>
                  </wp:positionH>
                  <wp:positionV relativeFrom="paragraph">
                    <wp:posOffset>382905</wp:posOffset>
                  </wp:positionV>
                  <wp:extent cx="776605" cy="934085"/>
                  <wp:effectExtent l="0" t="0" r="4445" b="18415"/>
                  <wp:wrapNone/>
                  <wp:docPr id="13" name="Picture_1786_SpCnt_2"/>
                  <wp:cNvGraphicFramePr/>
                  <a:graphic xmlns:a="http://schemas.openxmlformats.org/drawingml/2006/main">
                    <a:graphicData uri="http://schemas.openxmlformats.org/drawingml/2006/picture">
                      <pic:pic xmlns:pic="http://schemas.openxmlformats.org/drawingml/2006/picture">
                        <pic:nvPicPr>
                          <pic:cNvPr id="13" name="Picture_1786_SpCnt_2"/>
                          <pic:cNvPicPr/>
                        </pic:nvPicPr>
                        <pic:blipFill>
                          <a:blip r:embed="rId45"/>
                          <a:stretch>
                            <a:fillRect/>
                          </a:stretch>
                        </pic:blipFill>
                        <pic:spPr>
                          <a:xfrm>
                            <a:off x="0" y="0"/>
                            <a:ext cx="776605" cy="93408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材质：选用SUS304-2B优质不锈钢板制作。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台板采用1.2㎜,侧板0.8㎜不锈钢板制作.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说明：单边开门，加强筋、档采用不锈钢制作，采用</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不锈钢移门，配不锈钢可调子弹脚。</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69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规格：1200×600×800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留样冰箱</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02272" behindDoc="0" locked="0" layoutInCell="1" allowOverlap="1">
                  <wp:simplePos x="0" y="0"/>
                  <wp:positionH relativeFrom="column">
                    <wp:posOffset>259715</wp:posOffset>
                  </wp:positionH>
                  <wp:positionV relativeFrom="paragraph">
                    <wp:posOffset>113030</wp:posOffset>
                  </wp:positionV>
                  <wp:extent cx="682625" cy="539750"/>
                  <wp:effectExtent l="0" t="0" r="3175" b="12700"/>
                  <wp:wrapNone/>
                  <wp:docPr id="14" name="图片_96"/>
                  <wp:cNvGraphicFramePr/>
                  <a:graphic xmlns:a="http://schemas.openxmlformats.org/drawingml/2006/main">
                    <a:graphicData uri="http://schemas.openxmlformats.org/drawingml/2006/picture">
                      <pic:pic xmlns:pic="http://schemas.openxmlformats.org/drawingml/2006/picture">
                        <pic:nvPicPr>
                          <pic:cNvPr id="14" name="图片_96"/>
                          <pic:cNvPicPr/>
                        </pic:nvPicPr>
                        <pic:blipFill>
                          <a:blip r:embed="rId46"/>
                          <a:stretch>
                            <a:fillRect/>
                          </a:stretch>
                        </pic:blipFill>
                        <pic:spPr>
                          <a:xfrm>
                            <a:off x="0" y="0"/>
                            <a:ext cx="682625" cy="53975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产地品牌（参照或相当于）：华美、银都、星星</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规格：525×560×1800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筷子消毒机</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2</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产地品牌（参照或相当于）：拓玛、盛京、乐创</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03296" behindDoc="0" locked="0" layoutInCell="1" allowOverlap="1">
                  <wp:simplePos x="0" y="0"/>
                  <wp:positionH relativeFrom="column">
                    <wp:posOffset>3651250</wp:posOffset>
                  </wp:positionH>
                  <wp:positionV relativeFrom="paragraph">
                    <wp:posOffset>-99060</wp:posOffset>
                  </wp:positionV>
                  <wp:extent cx="704850" cy="711835"/>
                  <wp:effectExtent l="0" t="0" r="0" b="12065"/>
                  <wp:wrapNone/>
                  <wp:docPr id="15" name="图片_23"/>
                  <wp:cNvGraphicFramePr/>
                  <a:graphic xmlns:a="http://schemas.openxmlformats.org/drawingml/2006/main">
                    <a:graphicData uri="http://schemas.openxmlformats.org/drawingml/2006/picture">
                      <pic:pic xmlns:pic="http://schemas.openxmlformats.org/drawingml/2006/picture">
                        <pic:nvPicPr>
                          <pic:cNvPr id="15" name="图片_23"/>
                          <pic:cNvPicPr/>
                        </pic:nvPicPr>
                        <pic:blipFill>
                          <a:blip r:embed="rId47"/>
                          <a:stretch>
                            <a:fillRect/>
                          </a:stretch>
                        </pic:blipFill>
                        <pic:spPr>
                          <a:xfrm>
                            <a:off x="0" y="0"/>
                            <a:ext cx="704850" cy="711835"/>
                          </a:xfrm>
                          <a:prstGeom prst="rect">
                            <a:avLst/>
                          </a:prstGeom>
                          <a:noFill/>
                          <a:ln>
                            <a:noFill/>
                          </a:ln>
                        </pic:spPr>
                      </pic:pic>
                    </a:graphicData>
                  </a:graphic>
                </wp:anchor>
              </w:drawing>
            </w:r>
            <w:r>
              <w:rPr>
                <w:rFonts w:hint="eastAsia" w:ascii="宋体" w:hAnsi="宋体" w:cs="宋体"/>
                <w:color w:val="000000"/>
                <w:sz w:val="22"/>
                <w:szCs w:val="22"/>
                <w:lang w:bidi="ar"/>
              </w:rPr>
              <w:t>功率：220V/0.12KW</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规格：305×255×245  容纳200双筷子</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双层满板工作台</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张</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2</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04320" behindDoc="0" locked="0" layoutInCell="1" allowOverlap="1">
                  <wp:simplePos x="0" y="0"/>
                  <wp:positionH relativeFrom="column">
                    <wp:posOffset>175895</wp:posOffset>
                  </wp:positionH>
                  <wp:positionV relativeFrom="paragraph">
                    <wp:posOffset>387985</wp:posOffset>
                  </wp:positionV>
                  <wp:extent cx="906145" cy="603885"/>
                  <wp:effectExtent l="0" t="0" r="8255" b="5715"/>
                  <wp:wrapNone/>
                  <wp:docPr id="16" name="图片_46"/>
                  <wp:cNvGraphicFramePr/>
                  <a:graphic xmlns:a="http://schemas.openxmlformats.org/drawingml/2006/main">
                    <a:graphicData uri="http://schemas.openxmlformats.org/drawingml/2006/picture">
                      <pic:pic xmlns:pic="http://schemas.openxmlformats.org/drawingml/2006/picture">
                        <pic:nvPicPr>
                          <pic:cNvPr id="16" name="图片_46"/>
                          <pic:cNvPicPr/>
                        </pic:nvPicPr>
                        <pic:blipFill>
                          <a:blip r:embed="rId21"/>
                          <a:stretch>
                            <a:fillRect/>
                          </a:stretch>
                        </pic:blipFill>
                        <pic:spPr>
                          <a:xfrm>
                            <a:off x="0" y="0"/>
                            <a:ext cx="906145" cy="60388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rPr>
            </w:pPr>
            <w:r>
              <w:rPr>
                <w:rFonts w:hint="eastAsia" w:ascii="宋体" w:hAnsi="宋体" w:cs="宋体"/>
                <w:color w:val="000000"/>
                <w:lang w:bidi="ar"/>
              </w:rPr>
              <w:t>材质：选用优质SUS304-2B不锈钢板制作。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rPr>
            </w:pPr>
            <w:r>
              <w:rPr>
                <w:rFonts w:hint="eastAsia" w:ascii="宋体" w:hAnsi="宋体" w:cs="宋体"/>
                <w:color w:val="000000"/>
                <w:lang w:bidi="ar"/>
              </w:rPr>
              <w:t>台板采用1.2㎜不锈钢板制作.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rPr>
            </w:pPr>
            <w:r>
              <w:rPr>
                <w:rFonts w:hint="eastAsia" w:ascii="宋体" w:hAnsi="宋体" w:cs="宋体"/>
                <w:color w:val="000000"/>
                <w:lang w:bidi="ar"/>
              </w:rPr>
              <w:t>说明：脚采用Φ38圆管制作。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配可调活动子弹脚</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 xml:space="preserve"> 规格：1600×500×800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sz w:val="22"/>
                <w:szCs w:val="22"/>
              </w:rPr>
            </w:pPr>
            <w:r>
              <w:rPr>
                <w:rFonts w:hint="eastAsia" w:ascii="宋体" w:hAnsi="宋体" w:cs="宋体"/>
                <w:b/>
                <w:bCs/>
                <w:color w:val="000000"/>
                <w:sz w:val="22"/>
                <w:szCs w:val="22"/>
                <w:lang w:bidi="ar"/>
              </w:rPr>
              <w:t>全封闭托盘车</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辆</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2</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05344" behindDoc="0" locked="0" layoutInCell="1" allowOverlap="1">
                  <wp:simplePos x="0" y="0"/>
                  <wp:positionH relativeFrom="column">
                    <wp:posOffset>307975</wp:posOffset>
                  </wp:positionH>
                  <wp:positionV relativeFrom="paragraph">
                    <wp:posOffset>503555</wp:posOffset>
                  </wp:positionV>
                  <wp:extent cx="759460" cy="920115"/>
                  <wp:effectExtent l="0" t="0" r="2540" b="13335"/>
                  <wp:wrapNone/>
                  <wp:docPr id="17" name="图片_47"/>
                  <wp:cNvGraphicFramePr/>
                  <a:graphic xmlns:a="http://schemas.openxmlformats.org/drawingml/2006/main">
                    <a:graphicData uri="http://schemas.openxmlformats.org/drawingml/2006/picture">
                      <pic:pic xmlns:pic="http://schemas.openxmlformats.org/drawingml/2006/picture">
                        <pic:nvPicPr>
                          <pic:cNvPr id="17" name="图片_47"/>
                          <pic:cNvPicPr/>
                        </pic:nvPicPr>
                        <pic:blipFill>
                          <a:blip r:embed="rId48"/>
                          <a:stretch>
                            <a:fillRect/>
                          </a:stretch>
                        </pic:blipFill>
                        <pic:spPr>
                          <a:xfrm>
                            <a:off x="0" y="0"/>
                            <a:ext cx="759460" cy="92011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材质：选用优质SUS304-2B不锈钢板制作。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台板采用1.2㎜,侧板0.8㎜不锈钢板制作.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说明：下面单边开门，上面无门，加强筋、档采用不</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锈钢制作。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规格：740×500×1010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sz w:val="22"/>
                <w:szCs w:val="22"/>
              </w:rPr>
            </w:pPr>
            <w:r>
              <w:rPr>
                <w:rFonts w:hint="eastAsia" w:ascii="宋体" w:hAnsi="宋体" w:cs="宋体"/>
                <w:b/>
                <w:bCs/>
                <w:color w:val="000000"/>
                <w:sz w:val="22"/>
                <w:szCs w:val="22"/>
                <w:lang w:bidi="ar"/>
              </w:rPr>
              <w:t>深斗送碗车（带盖）</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辆</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2</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定制</w:t>
            </w: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材质：选用优质SUS304-2B不锈钢板制作。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台板采用1.2㎜不锈钢板制作.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说明：拉手采用方管制作。 斗深400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配四寸万向活轮四只。</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规格：1000×500×800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餐饭回收区</w:t>
            </w:r>
          </w:p>
        </w:tc>
        <w:tc>
          <w:tcPr>
            <w:tcW w:w="36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656"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2"/>
                <w:szCs w:val="22"/>
              </w:rPr>
            </w:pPr>
          </w:p>
        </w:tc>
        <w:tc>
          <w:tcPr>
            <w:tcW w:w="2319"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深斗回收车</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辆</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2</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定制</w:t>
            </w: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材质：选用优质SUS304-2B不锈钢板制作。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台板采用1.2㎜不锈钢板制作.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说明：拉手采用方管制作。斗深600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配四寸万向活轮四只。</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规格：800×600×800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全封闭残食台（双眼）</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06368" behindDoc="0" locked="0" layoutInCell="1" allowOverlap="1">
                  <wp:simplePos x="0" y="0"/>
                  <wp:positionH relativeFrom="column">
                    <wp:posOffset>268605</wp:posOffset>
                  </wp:positionH>
                  <wp:positionV relativeFrom="paragraph">
                    <wp:posOffset>139065</wp:posOffset>
                  </wp:positionV>
                  <wp:extent cx="858520" cy="666115"/>
                  <wp:effectExtent l="0" t="0" r="17780" b="635"/>
                  <wp:wrapNone/>
                  <wp:docPr id="18" name="图片_49"/>
                  <wp:cNvGraphicFramePr/>
                  <a:graphic xmlns:a="http://schemas.openxmlformats.org/drawingml/2006/main">
                    <a:graphicData uri="http://schemas.openxmlformats.org/drawingml/2006/picture">
                      <pic:pic xmlns:pic="http://schemas.openxmlformats.org/drawingml/2006/picture">
                        <pic:nvPicPr>
                          <pic:cNvPr id="18" name="图片_49"/>
                          <pic:cNvPicPr/>
                        </pic:nvPicPr>
                        <pic:blipFill>
                          <a:blip r:embed="rId49"/>
                          <a:stretch>
                            <a:fillRect/>
                          </a:stretch>
                        </pic:blipFill>
                        <pic:spPr>
                          <a:xfrm>
                            <a:off x="0" y="0"/>
                            <a:ext cx="858520" cy="66611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材质：选用优质SUS304-2B不锈钢板制作。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台板1.2㎜，侧板采用0.8㎜不锈钢板制作.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说明：脚采用Φ38圆管制作。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配推车2辆，不锈钢回收桶2只。</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规格：1800×800×800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2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sz w:val="22"/>
                <w:szCs w:val="22"/>
              </w:rPr>
            </w:pPr>
            <w:r>
              <w:rPr>
                <w:rFonts w:hint="eastAsia" w:ascii="宋体" w:hAnsi="宋体" w:cs="宋体"/>
                <w:b/>
                <w:bCs/>
                <w:color w:val="000000"/>
                <w:sz w:val="22"/>
                <w:szCs w:val="22"/>
                <w:lang w:bidi="ar"/>
              </w:rPr>
              <w:t>四人餐桌（一楼及二楼，含88把椅子）</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套</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22</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07392" behindDoc="0" locked="0" layoutInCell="1" allowOverlap="1">
                  <wp:simplePos x="0" y="0"/>
                  <wp:positionH relativeFrom="column">
                    <wp:posOffset>429260</wp:posOffset>
                  </wp:positionH>
                  <wp:positionV relativeFrom="paragraph">
                    <wp:posOffset>94615</wp:posOffset>
                  </wp:positionV>
                  <wp:extent cx="391795" cy="334010"/>
                  <wp:effectExtent l="0" t="0" r="8255" b="8890"/>
                  <wp:wrapNone/>
                  <wp:docPr id="19" name="图片_61"/>
                  <wp:cNvGraphicFramePr/>
                  <a:graphic xmlns:a="http://schemas.openxmlformats.org/drawingml/2006/main">
                    <a:graphicData uri="http://schemas.openxmlformats.org/drawingml/2006/picture">
                      <pic:pic xmlns:pic="http://schemas.openxmlformats.org/drawingml/2006/picture">
                        <pic:nvPicPr>
                          <pic:cNvPr id="19" name="图片_61"/>
                          <pic:cNvPicPr/>
                        </pic:nvPicPr>
                        <pic:blipFill>
                          <a:blip r:embed="rId50"/>
                          <a:stretch>
                            <a:fillRect/>
                          </a:stretch>
                        </pic:blipFill>
                        <pic:spPr>
                          <a:xfrm>
                            <a:off x="0" y="0"/>
                            <a:ext cx="391795" cy="33401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30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规格：1400×700×800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sz w:val="22"/>
                <w:szCs w:val="22"/>
              </w:rPr>
            </w:pPr>
            <w:r>
              <w:rPr>
                <w:rFonts w:hint="eastAsia" w:ascii="宋体" w:hAnsi="宋体" w:cs="宋体"/>
                <w:b/>
                <w:bCs/>
                <w:color w:val="000000"/>
                <w:sz w:val="22"/>
                <w:szCs w:val="22"/>
                <w:lang w:bidi="ar"/>
              </w:rPr>
              <w:t>吧台桌</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张</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规格：7160×550×800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不锈钢长槽水池</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08416" behindDoc="0" locked="0" layoutInCell="1" allowOverlap="1">
                  <wp:simplePos x="0" y="0"/>
                  <wp:positionH relativeFrom="column">
                    <wp:posOffset>159385</wp:posOffset>
                  </wp:positionH>
                  <wp:positionV relativeFrom="paragraph">
                    <wp:posOffset>610235</wp:posOffset>
                  </wp:positionV>
                  <wp:extent cx="833755" cy="608330"/>
                  <wp:effectExtent l="0" t="0" r="4445" b="1270"/>
                  <wp:wrapNone/>
                  <wp:docPr id="20" name="图片_6"/>
                  <wp:cNvGraphicFramePr/>
                  <a:graphic xmlns:a="http://schemas.openxmlformats.org/drawingml/2006/main">
                    <a:graphicData uri="http://schemas.openxmlformats.org/drawingml/2006/picture">
                      <pic:pic xmlns:pic="http://schemas.openxmlformats.org/drawingml/2006/picture">
                        <pic:nvPicPr>
                          <pic:cNvPr id="20" name="图片_6"/>
                          <pic:cNvPicPr/>
                        </pic:nvPicPr>
                        <pic:blipFill>
                          <a:blip r:embed="rId51"/>
                          <a:stretch>
                            <a:fillRect/>
                          </a:stretch>
                        </pic:blipFill>
                        <pic:spPr>
                          <a:xfrm>
                            <a:off x="0" y="0"/>
                            <a:ext cx="833755" cy="60833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材质：选用优质SUS304-2B不锈钢板制作。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台板采用1.2㎜,侧板0.8㎜不锈钢板制作.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说明：圆角模压成型，加强档、筋采用不锈钢制作.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优质落水器及不锈钢可调脚。</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规格：2200×600×800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拖把池</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09440" behindDoc="0" locked="0" layoutInCell="1" allowOverlap="1">
                  <wp:simplePos x="0" y="0"/>
                  <wp:positionH relativeFrom="column">
                    <wp:posOffset>120650</wp:posOffset>
                  </wp:positionH>
                  <wp:positionV relativeFrom="paragraph">
                    <wp:posOffset>111760</wp:posOffset>
                  </wp:positionV>
                  <wp:extent cx="774700" cy="1391920"/>
                  <wp:effectExtent l="0" t="0" r="6350" b="17780"/>
                  <wp:wrapNone/>
                  <wp:docPr id="21" name="Picture_1090_SpCnt_4"/>
                  <wp:cNvGraphicFramePr/>
                  <a:graphic xmlns:a="http://schemas.openxmlformats.org/drawingml/2006/main">
                    <a:graphicData uri="http://schemas.openxmlformats.org/drawingml/2006/picture">
                      <pic:pic xmlns:pic="http://schemas.openxmlformats.org/drawingml/2006/picture">
                        <pic:nvPicPr>
                          <pic:cNvPr id="21" name="Picture_1090_SpCnt_4"/>
                          <pic:cNvPicPr/>
                        </pic:nvPicPr>
                        <pic:blipFill>
                          <a:blip r:embed="rId14"/>
                          <a:stretch>
                            <a:fillRect/>
                          </a:stretch>
                        </pic:blipFill>
                        <pic:spPr>
                          <a:xfrm>
                            <a:off x="0" y="0"/>
                            <a:ext cx="774700" cy="139192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材质：选用SUS304-2B优质不锈钢板制作。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台板采用1.2㎜,侧板0.8㎜不锈钢板制作.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说明：圆角模压成型，加强档、筋采用不锈钢制作.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优质落水器及不锈钢可调脚。</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规格：800×600×500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sz w:val="22"/>
                <w:szCs w:val="22"/>
              </w:rPr>
            </w:pPr>
            <w:r>
              <w:rPr>
                <w:rFonts w:hint="eastAsia" w:ascii="宋体" w:hAnsi="宋体" w:cs="宋体"/>
                <w:b/>
                <w:bCs/>
                <w:color w:val="000000"/>
                <w:sz w:val="22"/>
                <w:szCs w:val="22"/>
                <w:lang w:bidi="ar"/>
              </w:rPr>
              <w:t>台式混水厨房龙头</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套</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5</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10464" behindDoc="0" locked="0" layoutInCell="1" allowOverlap="1">
                  <wp:simplePos x="0" y="0"/>
                  <wp:positionH relativeFrom="column">
                    <wp:posOffset>203835</wp:posOffset>
                  </wp:positionH>
                  <wp:positionV relativeFrom="paragraph">
                    <wp:posOffset>38735</wp:posOffset>
                  </wp:positionV>
                  <wp:extent cx="441960" cy="560070"/>
                  <wp:effectExtent l="0" t="0" r="15240" b="11430"/>
                  <wp:wrapNone/>
                  <wp:docPr id="22" name="图片_50"/>
                  <wp:cNvGraphicFramePr/>
                  <a:graphic xmlns:a="http://schemas.openxmlformats.org/drawingml/2006/main">
                    <a:graphicData uri="http://schemas.openxmlformats.org/drawingml/2006/picture">
                      <pic:pic xmlns:pic="http://schemas.openxmlformats.org/drawingml/2006/picture">
                        <pic:nvPicPr>
                          <pic:cNvPr id="22" name="图片_50"/>
                          <pic:cNvPicPr/>
                        </pic:nvPicPr>
                        <pic:blipFill>
                          <a:blip r:embed="rId12"/>
                          <a:stretch>
                            <a:fillRect/>
                          </a:stretch>
                        </pic:blipFill>
                        <pic:spPr>
                          <a:xfrm>
                            <a:off x="0" y="0"/>
                            <a:ext cx="441960" cy="56007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产地品牌（参照或相当于）：埃美柯、天仕、君畅</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81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说明：双孔双把装台面鹅颈龙头，配G1/2′进水接头，出水管中心距145mm，4′对中镀铬镍黄铜本体。</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b/>
                <w:bCs/>
                <w:color w:val="000000"/>
                <w:sz w:val="22"/>
                <w:szCs w:val="22"/>
              </w:rPr>
            </w:pPr>
            <w:r>
              <w:rPr>
                <w:rFonts w:hint="eastAsia" w:ascii="宋体" w:hAnsi="宋体" w:cs="宋体"/>
                <w:b/>
                <w:bCs/>
                <w:color w:val="000000"/>
                <w:sz w:val="22"/>
                <w:szCs w:val="22"/>
                <w:lang w:bidi="ar"/>
              </w:rPr>
              <w:t>不锈钢汤桶</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2</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11488" behindDoc="0" locked="0" layoutInCell="1" allowOverlap="1">
                  <wp:simplePos x="0" y="0"/>
                  <wp:positionH relativeFrom="column">
                    <wp:posOffset>302260</wp:posOffset>
                  </wp:positionH>
                  <wp:positionV relativeFrom="paragraph">
                    <wp:posOffset>163195</wp:posOffset>
                  </wp:positionV>
                  <wp:extent cx="617855" cy="537845"/>
                  <wp:effectExtent l="0" t="0" r="10795" b="14605"/>
                  <wp:wrapNone/>
                  <wp:docPr id="23" name="图片_30"/>
                  <wp:cNvGraphicFramePr/>
                  <a:graphic xmlns:a="http://schemas.openxmlformats.org/drawingml/2006/main">
                    <a:graphicData uri="http://schemas.openxmlformats.org/drawingml/2006/picture">
                      <pic:pic xmlns:pic="http://schemas.openxmlformats.org/drawingml/2006/picture">
                        <pic:nvPicPr>
                          <pic:cNvPr id="23" name="图片_30"/>
                          <pic:cNvPicPr/>
                        </pic:nvPicPr>
                        <pic:blipFill>
                          <a:blip r:embed="rId52"/>
                          <a:stretch>
                            <a:fillRect/>
                          </a:stretch>
                        </pic:blipFill>
                        <pic:spPr>
                          <a:xfrm>
                            <a:off x="0" y="0"/>
                            <a:ext cx="617855" cy="53784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材质：选用SUS304-2B优质不锈钢板制作。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规格：Φ500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排烟系统</w:t>
            </w:r>
          </w:p>
        </w:tc>
        <w:tc>
          <w:tcPr>
            <w:tcW w:w="36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656"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2"/>
                <w:szCs w:val="22"/>
              </w:rPr>
            </w:pPr>
          </w:p>
        </w:tc>
        <w:tc>
          <w:tcPr>
            <w:tcW w:w="2319" w:type="dxa"/>
            <w:tcBorders>
              <w:top w:val="single" w:color="000000" w:sz="4" w:space="0"/>
              <w:left w:val="single" w:color="000000" w:sz="4" w:space="0"/>
              <w:bottom w:val="single" w:color="000000" w:sz="4" w:space="0"/>
              <w:right w:val="single" w:color="000000" w:sz="4" w:space="0"/>
            </w:tcBorders>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不锈钢排烟风管</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平方</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110</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12512" behindDoc="0" locked="0" layoutInCell="1" allowOverlap="1">
                  <wp:simplePos x="0" y="0"/>
                  <wp:positionH relativeFrom="column">
                    <wp:posOffset>3634105</wp:posOffset>
                  </wp:positionH>
                  <wp:positionV relativeFrom="paragraph">
                    <wp:posOffset>175260</wp:posOffset>
                  </wp:positionV>
                  <wp:extent cx="514985" cy="625475"/>
                  <wp:effectExtent l="0" t="0" r="18415" b="3175"/>
                  <wp:wrapNone/>
                  <wp:docPr id="24" name="图片_115"/>
                  <wp:cNvGraphicFramePr/>
                  <a:graphic xmlns:a="http://schemas.openxmlformats.org/drawingml/2006/main">
                    <a:graphicData uri="http://schemas.openxmlformats.org/drawingml/2006/picture">
                      <pic:pic xmlns:pic="http://schemas.openxmlformats.org/drawingml/2006/picture">
                        <pic:nvPicPr>
                          <pic:cNvPr id="24" name="图片_115"/>
                          <pic:cNvPicPr/>
                        </pic:nvPicPr>
                        <pic:blipFill>
                          <a:blip r:embed="rId53"/>
                          <a:stretch>
                            <a:fillRect/>
                          </a:stretch>
                        </pic:blipFill>
                        <pic:spPr>
                          <a:xfrm>
                            <a:off x="0" y="0"/>
                            <a:ext cx="514985" cy="625475"/>
                          </a:xfrm>
                          <a:prstGeom prst="rect">
                            <a:avLst/>
                          </a:prstGeom>
                          <a:noFill/>
                          <a:ln>
                            <a:noFill/>
                          </a:ln>
                        </pic:spPr>
                      </pic:pic>
                    </a:graphicData>
                  </a:graphic>
                </wp:anchor>
              </w:drawing>
            </w: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材质：选用优质SUS304-2B不锈钢板制作。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面板采用0.8㎜不锈钢板制作.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法兰</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付</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37</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13536" behindDoc="0" locked="0" layoutInCell="1" allowOverlap="1">
                  <wp:simplePos x="0" y="0"/>
                  <wp:positionH relativeFrom="column">
                    <wp:posOffset>352425</wp:posOffset>
                  </wp:positionH>
                  <wp:positionV relativeFrom="paragraph">
                    <wp:posOffset>31115</wp:posOffset>
                  </wp:positionV>
                  <wp:extent cx="344805" cy="296545"/>
                  <wp:effectExtent l="0" t="0" r="17145" b="8255"/>
                  <wp:wrapNone/>
                  <wp:docPr id="25" name="图片_53"/>
                  <wp:cNvGraphicFramePr/>
                  <a:graphic xmlns:a="http://schemas.openxmlformats.org/drawingml/2006/main">
                    <a:graphicData uri="http://schemas.openxmlformats.org/drawingml/2006/picture">
                      <pic:pic xmlns:pic="http://schemas.openxmlformats.org/drawingml/2006/picture">
                        <pic:nvPicPr>
                          <pic:cNvPr id="25" name="图片_53"/>
                          <pic:cNvPicPr/>
                        </pic:nvPicPr>
                        <pic:blipFill>
                          <a:blip r:embed="rId54"/>
                          <a:stretch>
                            <a:fillRect/>
                          </a:stretch>
                        </pic:blipFill>
                        <pic:spPr>
                          <a:xfrm>
                            <a:off x="0" y="0"/>
                            <a:ext cx="344805" cy="29654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支架</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付</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15</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14560" behindDoc="0" locked="0" layoutInCell="1" allowOverlap="1">
                  <wp:simplePos x="0" y="0"/>
                  <wp:positionH relativeFrom="column">
                    <wp:posOffset>333375</wp:posOffset>
                  </wp:positionH>
                  <wp:positionV relativeFrom="paragraph">
                    <wp:posOffset>33020</wp:posOffset>
                  </wp:positionV>
                  <wp:extent cx="373380" cy="280670"/>
                  <wp:effectExtent l="0" t="0" r="7620" b="5080"/>
                  <wp:wrapNone/>
                  <wp:docPr id="26" name="图片_62"/>
                  <wp:cNvGraphicFramePr/>
                  <a:graphic xmlns:a="http://schemas.openxmlformats.org/drawingml/2006/main">
                    <a:graphicData uri="http://schemas.openxmlformats.org/drawingml/2006/picture">
                      <pic:pic xmlns:pic="http://schemas.openxmlformats.org/drawingml/2006/picture">
                        <pic:nvPicPr>
                          <pic:cNvPr id="26" name="图片_62"/>
                          <pic:cNvPicPr/>
                        </pic:nvPicPr>
                        <pic:blipFill>
                          <a:blip r:embed="rId55"/>
                          <a:stretch>
                            <a:fillRect/>
                          </a:stretch>
                        </pic:blipFill>
                        <pic:spPr>
                          <a:xfrm>
                            <a:off x="0" y="0"/>
                            <a:ext cx="373380" cy="28067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不锈钢封板</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平方</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15584" behindDoc="0" locked="0" layoutInCell="1" allowOverlap="1">
                  <wp:simplePos x="0" y="0"/>
                  <wp:positionH relativeFrom="column">
                    <wp:posOffset>155575</wp:posOffset>
                  </wp:positionH>
                  <wp:positionV relativeFrom="paragraph">
                    <wp:posOffset>81915</wp:posOffset>
                  </wp:positionV>
                  <wp:extent cx="643255" cy="516890"/>
                  <wp:effectExtent l="0" t="0" r="4445" b="16510"/>
                  <wp:wrapNone/>
                  <wp:docPr id="27" name="图片_56"/>
                  <wp:cNvGraphicFramePr/>
                  <a:graphic xmlns:a="http://schemas.openxmlformats.org/drawingml/2006/main">
                    <a:graphicData uri="http://schemas.openxmlformats.org/drawingml/2006/picture">
                      <pic:pic xmlns:pic="http://schemas.openxmlformats.org/drawingml/2006/picture">
                        <pic:nvPicPr>
                          <pic:cNvPr id="27" name="图片_56"/>
                          <pic:cNvPicPr/>
                        </pic:nvPicPr>
                        <pic:blipFill>
                          <a:blip r:embed="rId56"/>
                          <a:stretch>
                            <a:fillRect/>
                          </a:stretch>
                        </pic:blipFill>
                        <pic:spPr>
                          <a:xfrm>
                            <a:off x="0" y="0"/>
                            <a:ext cx="643255" cy="51689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材质：选用优质SUS304-2B不锈钢板制作。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面板采用1.0㎜不锈钢板制作.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排烟风柜</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台</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2</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16608" behindDoc="0" locked="0" layoutInCell="1" allowOverlap="1">
                  <wp:simplePos x="0" y="0"/>
                  <wp:positionH relativeFrom="column">
                    <wp:posOffset>239395</wp:posOffset>
                  </wp:positionH>
                  <wp:positionV relativeFrom="paragraph">
                    <wp:posOffset>40005</wp:posOffset>
                  </wp:positionV>
                  <wp:extent cx="542925" cy="469900"/>
                  <wp:effectExtent l="0" t="0" r="9525" b="6350"/>
                  <wp:wrapNone/>
                  <wp:docPr id="28" name="Picture_1074"/>
                  <wp:cNvGraphicFramePr/>
                  <a:graphic xmlns:a="http://schemas.openxmlformats.org/drawingml/2006/main">
                    <a:graphicData uri="http://schemas.openxmlformats.org/drawingml/2006/picture">
                      <pic:pic xmlns:pic="http://schemas.openxmlformats.org/drawingml/2006/picture">
                        <pic:nvPicPr>
                          <pic:cNvPr id="28" name="Picture_1074"/>
                          <pic:cNvPicPr/>
                        </pic:nvPicPr>
                        <pic:blipFill>
                          <a:blip r:embed="rId57"/>
                          <a:stretch>
                            <a:fillRect/>
                          </a:stretch>
                        </pic:blipFill>
                        <pic:spPr>
                          <a:xfrm>
                            <a:off x="0" y="0"/>
                            <a:ext cx="542925" cy="46990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产地品牌（参照或相当于）：德粤、保丽洁、双阳</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用电功率:18"5.5KW          处理风量：18500m³/H</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低空油烟净化器</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台</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2</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17632" behindDoc="0" locked="0" layoutInCell="1" allowOverlap="1">
                  <wp:simplePos x="0" y="0"/>
                  <wp:positionH relativeFrom="column">
                    <wp:posOffset>334645</wp:posOffset>
                  </wp:positionH>
                  <wp:positionV relativeFrom="paragraph">
                    <wp:posOffset>86995</wp:posOffset>
                  </wp:positionV>
                  <wp:extent cx="401955" cy="349885"/>
                  <wp:effectExtent l="0" t="0" r="17145" b="12065"/>
                  <wp:wrapNone/>
                  <wp:docPr id="29" name="Picture_1073"/>
                  <wp:cNvGraphicFramePr/>
                  <a:graphic xmlns:a="http://schemas.openxmlformats.org/drawingml/2006/main">
                    <a:graphicData uri="http://schemas.openxmlformats.org/drawingml/2006/picture">
                      <pic:pic xmlns:pic="http://schemas.openxmlformats.org/drawingml/2006/picture">
                        <pic:nvPicPr>
                          <pic:cNvPr id="29" name="Picture_1073"/>
                          <pic:cNvPicPr/>
                        </pic:nvPicPr>
                        <pic:blipFill>
                          <a:blip r:embed="rId58"/>
                          <a:stretch>
                            <a:fillRect/>
                          </a:stretch>
                        </pic:blipFill>
                        <pic:spPr>
                          <a:xfrm>
                            <a:off x="0" y="0"/>
                            <a:ext cx="401955" cy="34988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产地品牌（参照或相当于）：德粤、科蓝、北沃</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用电功率:1KW          处理风量：18500m³/H</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排烟风机</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18656" behindDoc="0" locked="0" layoutInCell="1" allowOverlap="1">
                  <wp:simplePos x="0" y="0"/>
                  <wp:positionH relativeFrom="column">
                    <wp:posOffset>387985</wp:posOffset>
                  </wp:positionH>
                  <wp:positionV relativeFrom="paragraph">
                    <wp:posOffset>22860</wp:posOffset>
                  </wp:positionV>
                  <wp:extent cx="304800" cy="303530"/>
                  <wp:effectExtent l="0" t="0" r="0" b="1270"/>
                  <wp:wrapNone/>
                  <wp:docPr id="30" name="图片_63"/>
                  <wp:cNvGraphicFramePr/>
                  <a:graphic xmlns:a="http://schemas.openxmlformats.org/drawingml/2006/main">
                    <a:graphicData uri="http://schemas.openxmlformats.org/drawingml/2006/picture">
                      <pic:pic xmlns:pic="http://schemas.openxmlformats.org/drawingml/2006/picture">
                        <pic:nvPicPr>
                          <pic:cNvPr id="30" name="图片_63"/>
                          <pic:cNvPicPr/>
                        </pic:nvPicPr>
                        <pic:blipFill>
                          <a:blip r:embed="rId59"/>
                          <a:stretch>
                            <a:fillRect/>
                          </a:stretch>
                        </pic:blipFill>
                        <pic:spPr>
                          <a:xfrm>
                            <a:off x="0" y="0"/>
                            <a:ext cx="304800" cy="30353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产地品牌（参照或相当于）：德粤、保丽洁、双阳</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风机支架</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套</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19680" behindDoc="0" locked="0" layoutInCell="1" allowOverlap="1">
                  <wp:simplePos x="0" y="0"/>
                  <wp:positionH relativeFrom="column">
                    <wp:posOffset>245110</wp:posOffset>
                  </wp:positionH>
                  <wp:positionV relativeFrom="paragraph">
                    <wp:posOffset>10795</wp:posOffset>
                  </wp:positionV>
                  <wp:extent cx="560705" cy="320675"/>
                  <wp:effectExtent l="0" t="0" r="10795" b="3175"/>
                  <wp:wrapNone/>
                  <wp:docPr id="31" name="图片_64"/>
                  <wp:cNvGraphicFramePr/>
                  <a:graphic xmlns:a="http://schemas.openxmlformats.org/drawingml/2006/main">
                    <a:graphicData uri="http://schemas.openxmlformats.org/drawingml/2006/picture">
                      <pic:pic xmlns:pic="http://schemas.openxmlformats.org/drawingml/2006/picture">
                        <pic:nvPicPr>
                          <pic:cNvPr id="31" name="图片_64"/>
                          <pic:cNvPicPr/>
                        </pic:nvPicPr>
                        <pic:blipFill>
                          <a:blip r:embed="rId60"/>
                          <a:stretch>
                            <a:fillRect/>
                          </a:stretch>
                        </pic:blipFill>
                        <pic:spPr>
                          <a:xfrm>
                            <a:off x="0" y="0"/>
                            <a:ext cx="560705" cy="32067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风柜支架</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套</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2</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20704" behindDoc="0" locked="0" layoutInCell="1" allowOverlap="1">
                  <wp:simplePos x="0" y="0"/>
                  <wp:positionH relativeFrom="column">
                    <wp:posOffset>293370</wp:posOffset>
                  </wp:positionH>
                  <wp:positionV relativeFrom="paragraph">
                    <wp:posOffset>10160</wp:posOffset>
                  </wp:positionV>
                  <wp:extent cx="495300" cy="283845"/>
                  <wp:effectExtent l="0" t="0" r="0" b="1905"/>
                  <wp:wrapNone/>
                  <wp:docPr id="32" name="图片_69"/>
                  <wp:cNvGraphicFramePr/>
                  <a:graphic xmlns:a="http://schemas.openxmlformats.org/drawingml/2006/main">
                    <a:graphicData uri="http://schemas.openxmlformats.org/drawingml/2006/picture">
                      <pic:pic xmlns:pic="http://schemas.openxmlformats.org/drawingml/2006/picture">
                        <pic:nvPicPr>
                          <pic:cNvPr id="32" name="图片_69"/>
                          <pic:cNvPicPr/>
                        </pic:nvPicPr>
                        <pic:blipFill>
                          <a:blip r:embed="rId61"/>
                          <a:stretch>
                            <a:fillRect/>
                          </a:stretch>
                        </pic:blipFill>
                        <pic:spPr>
                          <a:xfrm>
                            <a:off x="0" y="0"/>
                            <a:ext cx="495300" cy="28384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净化器支架</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套</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2</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21728" behindDoc="0" locked="0" layoutInCell="1" allowOverlap="1">
                  <wp:simplePos x="0" y="0"/>
                  <wp:positionH relativeFrom="column">
                    <wp:posOffset>311150</wp:posOffset>
                  </wp:positionH>
                  <wp:positionV relativeFrom="paragraph">
                    <wp:posOffset>19685</wp:posOffset>
                  </wp:positionV>
                  <wp:extent cx="519430" cy="299085"/>
                  <wp:effectExtent l="0" t="0" r="13970" b="5715"/>
                  <wp:wrapNone/>
                  <wp:docPr id="33" name="图片_70"/>
                  <wp:cNvGraphicFramePr/>
                  <a:graphic xmlns:a="http://schemas.openxmlformats.org/drawingml/2006/main">
                    <a:graphicData uri="http://schemas.openxmlformats.org/drawingml/2006/picture">
                      <pic:pic xmlns:pic="http://schemas.openxmlformats.org/drawingml/2006/picture">
                        <pic:nvPicPr>
                          <pic:cNvPr id="33" name="图片_70"/>
                          <pic:cNvPicPr/>
                        </pic:nvPicPr>
                        <pic:blipFill>
                          <a:blip r:embed="rId62"/>
                          <a:stretch>
                            <a:fillRect/>
                          </a:stretch>
                        </pic:blipFill>
                        <pic:spPr>
                          <a:xfrm>
                            <a:off x="0" y="0"/>
                            <a:ext cx="519430" cy="29908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4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防火阀</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套</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2</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22752" behindDoc="0" locked="0" layoutInCell="1" allowOverlap="1">
                  <wp:simplePos x="0" y="0"/>
                  <wp:positionH relativeFrom="column">
                    <wp:posOffset>387350</wp:posOffset>
                  </wp:positionH>
                  <wp:positionV relativeFrom="paragraph">
                    <wp:posOffset>14605</wp:posOffset>
                  </wp:positionV>
                  <wp:extent cx="297180" cy="316230"/>
                  <wp:effectExtent l="0" t="0" r="7620" b="7620"/>
                  <wp:wrapNone/>
                  <wp:docPr id="34" name="图片_9"/>
                  <wp:cNvGraphicFramePr/>
                  <a:graphic xmlns:a="http://schemas.openxmlformats.org/drawingml/2006/main">
                    <a:graphicData uri="http://schemas.openxmlformats.org/drawingml/2006/picture">
                      <pic:pic xmlns:pic="http://schemas.openxmlformats.org/drawingml/2006/picture">
                        <pic:nvPicPr>
                          <pic:cNvPr id="34" name="图片_9"/>
                          <pic:cNvPicPr/>
                        </pic:nvPicPr>
                        <pic:blipFill>
                          <a:blip r:embed="rId63"/>
                          <a:stretch>
                            <a:fillRect/>
                          </a:stretch>
                        </pic:blipFill>
                        <pic:spPr>
                          <a:xfrm>
                            <a:off x="0" y="0"/>
                            <a:ext cx="297180" cy="31623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防震软件</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套</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2</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23776" behindDoc="0" locked="0" layoutInCell="1" allowOverlap="1">
                  <wp:simplePos x="0" y="0"/>
                  <wp:positionH relativeFrom="column">
                    <wp:posOffset>388620</wp:posOffset>
                  </wp:positionH>
                  <wp:positionV relativeFrom="paragraph">
                    <wp:posOffset>20955</wp:posOffset>
                  </wp:positionV>
                  <wp:extent cx="333375" cy="301625"/>
                  <wp:effectExtent l="0" t="0" r="9525" b="3175"/>
                  <wp:wrapNone/>
                  <wp:docPr id="35" name="图片_72"/>
                  <wp:cNvGraphicFramePr/>
                  <a:graphic xmlns:a="http://schemas.openxmlformats.org/drawingml/2006/main">
                    <a:graphicData uri="http://schemas.openxmlformats.org/drawingml/2006/picture">
                      <pic:pic xmlns:pic="http://schemas.openxmlformats.org/drawingml/2006/picture">
                        <pic:nvPicPr>
                          <pic:cNvPr id="35" name="图片_72"/>
                          <pic:cNvPicPr/>
                        </pic:nvPicPr>
                        <pic:blipFill>
                          <a:blip r:embed="rId64"/>
                          <a:stretch>
                            <a:fillRect/>
                          </a:stretch>
                        </pic:blipFill>
                        <pic:spPr>
                          <a:xfrm>
                            <a:off x="0" y="0"/>
                            <a:ext cx="333375" cy="30162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智能变频控制器</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套</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2</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24800" behindDoc="0" locked="0" layoutInCell="1" allowOverlap="1">
                  <wp:simplePos x="0" y="0"/>
                  <wp:positionH relativeFrom="column">
                    <wp:posOffset>355600</wp:posOffset>
                  </wp:positionH>
                  <wp:positionV relativeFrom="paragraph">
                    <wp:posOffset>27305</wp:posOffset>
                  </wp:positionV>
                  <wp:extent cx="349885" cy="287020"/>
                  <wp:effectExtent l="0" t="0" r="12065" b="17780"/>
                  <wp:wrapNone/>
                  <wp:docPr id="36" name="图片_578"/>
                  <wp:cNvGraphicFramePr/>
                  <a:graphic xmlns:a="http://schemas.openxmlformats.org/drawingml/2006/main">
                    <a:graphicData uri="http://schemas.openxmlformats.org/drawingml/2006/picture">
                      <pic:pic xmlns:pic="http://schemas.openxmlformats.org/drawingml/2006/picture">
                        <pic:nvPicPr>
                          <pic:cNvPr id="36" name="图片_578"/>
                          <pic:cNvPicPr/>
                        </pic:nvPicPr>
                        <pic:blipFill>
                          <a:blip r:embed="rId65"/>
                          <a:stretch>
                            <a:fillRect/>
                          </a:stretch>
                        </pic:blipFill>
                        <pic:spPr>
                          <a:xfrm>
                            <a:off x="0" y="0"/>
                            <a:ext cx="349885" cy="28702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产地品牌（参照或相当于）：厂制品</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其他</w:t>
            </w:r>
          </w:p>
        </w:tc>
        <w:tc>
          <w:tcPr>
            <w:tcW w:w="369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sz w:val="22"/>
                <w:szCs w:val="22"/>
              </w:rPr>
            </w:pPr>
          </w:p>
        </w:tc>
        <w:tc>
          <w:tcPr>
            <w:tcW w:w="65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灭蝇灯</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套</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10</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25824" behindDoc="0" locked="0" layoutInCell="1" allowOverlap="1">
                  <wp:simplePos x="0" y="0"/>
                  <wp:positionH relativeFrom="column">
                    <wp:posOffset>267970</wp:posOffset>
                  </wp:positionH>
                  <wp:positionV relativeFrom="paragraph">
                    <wp:posOffset>40005</wp:posOffset>
                  </wp:positionV>
                  <wp:extent cx="436245" cy="286385"/>
                  <wp:effectExtent l="0" t="0" r="1905" b="18415"/>
                  <wp:wrapNone/>
                  <wp:docPr id="37" name="图片_74"/>
                  <wp:cNvGraphicFramePr/>
                  <a:graphic xmlns:a="http://schemas.openxmlformats.org/drawingml/2006/main">
                    <a:graphicData uri="http://schemas.openxmlformats.org/drawingml/2006/picture">
                      <pic:pic xmlns:pic="http://schemas.openxmlformats.org/drawingml/2006/picture">
                        <pic:nvPicPr>
                          <pic:cNvPr id="37" name="图片_74"/>
                          <pic:cNvPicPr/>
                        </pic:nvPicPr>
                        <pic:blipFill>
                          <a:blip r:embed="rId66"/>
                          <a:stretch>
                            <a:fillRect/>
                          </a:stretch>
                        </pic:blipFill>
                        <pic:spPr>
                          <a:xfrm>
                            <a:off x="0" y="0"/>
                            <a:ext cx="436245" cy="286385"/>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产地品牌（参照或相当于）：海克、亨得利、蝇博士</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紫外线消毒灯</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套</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4</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26848" behindDoc="0" locked="0" layoutInCell="1" allowOverlap="1">
                  <wp:simplePos x="0" y="0"/>
                  <wp:positionH relativeFrom="column">
                    <wp:posOffset>3763645</wp:posOffset>
                  </wp:positionH>
                  <wp:positionV relativeFrom="paragraph">
                    <wp:posOffset>101600</wp:posOffset>
                  </wp:positionV>
                  <wp:extent cx="339090" cy="254635"/>
                  <wp:effectExtent l="0" t="0" r="3810" b="12065"/>
                  <wp:wrapNone/>
                  <wp:docPr id="38" name="图片_75"/>
                  <wp:cNvGraphicFramePr/>
                  <a:graphic xmlns:a="http://schemas.openxmlformats.org/drawingml/2006/main">
                    <a:graphicData uri="http://schemas.openxmlformats.org/drawingml/2006/picture">
                      <pic:pic xmlns:pic="http://schemas.openxmlformats.org/drawingml/2006/picture">
                        <pic:nvPicPr>
                          <pic:cNvPr id="38" name="图片_75"/>
                          <pic:cNvPicPr/>
                        </pic:nvPicPr>
                        <pic:blipFill>
                          <a:blip r:embed="rId67"/>
                          <a:stretch>
                            <a:fillRect/>
                          </a:stretch>
                        </pic:blipFill>
                        <pic:spPr>
                          <a:xfrm>
                            <a:off x="0" y="0"/>
                            <a:ext cx="339090" cy="254635"/>
                          </a:xfrm>
                          <a:prstGeom prst="rect">
                            <a:avLst/>
                          </a:prstGeom>
                          <a:noFill/>
                          <a:ln>
                            <a:noFill/>
                          </a:ln>
                        </pic:spPr>
                      </pic:pic>
                    </a:graphicData>
                  </a:graphic>
                </wp:anchor>
              </w:drawing>
            </w:r>
            <w:r>
              <w:rPr>
                <w:rFonts w:hint="eastAsia" w:ascii="宋体" w:hAnsi="宋体" w:cs="宋体"/>
                <w:color w:val="000000"/>
                <w:sz w:val="22"/>
                <w:szCs w:val="22"/>
                <w:lang w:bidi="ar"/>
              </w:rPr>
              <w:t>产地品牌（参照或相当于）：飞利浦、汤玛斯、金卫士</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0" w:hRule="atLeast"/>
        </w:trPr>
        <w:tc>
          <w:tcPr>
            <w:tcW w:w="170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sz w:val="22"/>
                <w:szCs w:val="22"/>
                <w:lang w:bidi="ar"/>
              </w:rPr>
              <w:t>单门消毒柜（玻璃门，一楼二楼各一只）</w:t>
            </w:r>
          </w:p>
        </w:tc>
        <w:tc>
          <w:tcPr>
            <w:tcW w:w="65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只</w:t>
            </w:r>
          </w:p>
        </w:tc>
        <w:tc>
          <w:tcPr>
            <w:tcW w:w="90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bidi="ar"/>
              </w:rPr>
              <w:t>2</w:t>
            </w:r>
          </w:p>
        </w:tc>
        <w:tc>
          <w:tcPr>
            <w:tcW w:w="231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bdr w:val="single" w:color="000000" w:sz="4" w:space="0"/>
                <w:lang w:bidi="ar"/>
              </w:rPr>
              <w:drawing>
                <wp:anchor distT="0" distB="0" distL="114300" distR="114300" simplePos="0" relativeHeight="251727872" behindDoc="0" locked="0" layoutInCell="1" allowOverlap="1">
                  <wp:simplePos x="0" y="0"/>
                  <wp:positionH relativeFrom="column">
                    <wp:posOffset>385445</wp:posOffset>
                  </wp:positionH>
                  <wp:positionV relativeFrom="paragraph">
                    <wp:posOffset>320040</wp:posOffset>
                  </wp:positionV>
                  <wp:extent cx="521970" cy="918210"/>
                  <wp:effectExtent l="0" t="0" r="11430" b="15240"/>
                  <wp:wrapNone/>
                  <wp:docPr id="39" name="图片_20"/>
                  <wp:cNvGraphicFramePr/>
                  <a:graphic xmlns:a="http://schemas.openxmlformats.org/drawingml/2006/main">
                    <a:graphicData uri="http://schemas.openxmlformats.org/drawingml/2006/picture">
                      <pic:pic xmlns:pic="http://schemas.openxmlformats.org/drawingml/2006/picture">
                        <pic:nvPicPr>
                          <pic:cNvPr id="39" name="图片_20"/>
                          <pic:cNvPicPr/>
                        </pic:nvPicPr>
                        <pic:blipFill>
                          <a:blip r:embed="rId68"/>
                          <a:stretch>
                            <a:fillRect/>
                          </a:stretch>
                        </pic:blipFill>
                        <pic:spPr>
                          <a:xfrm>
                            <a:off x="0" y="0"/>
                            <a:ext cx="521970" cy="918210"/>
                          </a:xfrm>
                          <a:prstGeom prst="rect">
                            <a:avLst/>
                          </a:prstGeom>
                          <a:noFill/>
                          <a:ln>
                            <a:noFill/>
                          </a:ln>
                        </pic:spPr>
                      </pic:pic>
                    </a:graphicData>
                  </a:graphic>
                </wp:anchor>
              </w:drawing>
            </w: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产地品牌（参照或相当于）：康庭、康宝、索奇</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材质：选用优质不锈钢板制作。</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说明：高温消毒，零到</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lang w:bidi="ar"/>
              </w:rPr>
              <w:t>一百度，恒温定时控制。</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lang w:bidi="ar"/>
              </w:rPr>
            </w:pP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170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sz w:val="22"/>
                <w:szCs w:val="22"/>
                <w:lang w:bidi="ar"/>
              </w:rPr>
              <w:t>规格：600×550×1680</w:t>
            </w:r>
          </w:p>
        </w:tc>
        <w:tc>
          <w:tcPr>
            <w:tcW w:w="65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90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231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51" w:hRule="atLeast"/>
        </w:trPr>
        <w:tc>
          <w:tcPr>
            <w:tcW w:w="1705" w:type="dxa"/>
            <w:vMerge w:val="restart"/>
            <w:tcBorders>
              <w:top w:val="single" w:color="000000" w:sz="4" w:space="0"/>
              <w:left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3P吸顶空调</w:t>
            </w:r>
          </w:p>
        </w:tc>
        <w:tc>
          <w:tcPr>
            <w:tcW w:w="656" w:type="dxa"/>
            <w:vMerge w:val="restart"/>
            <w:tcBorders>
              <w:top w:val="single" w:color="000000" w:sz="4" w:space="0"/>
              <w:left w:val="single" w:color="000000" w:sz="4" w:space="0"/>
              <w:right w:val="single" w:color="000000" w:sz="4" w:space="0"/>
            </w:tcBorders>
            <w:noWrap/>
            <w:vAlign w:val="center"/>
          </w:tcPr>
          <w:p>
            <w:pPr>
              <w:jc w:val="center"/>
              <w:rPr>
                <w:rFonts w:ascii="宋体" w:hAnsi="宋体" w:cs="宋体"/>
                <w:color w:val="000000"/>
                <w:sz w:val="22"/>
                <w:szCs w:val="22"/>
              </w:rPr>
            </w:pPr>
            <w:r>
              <w:rPr>
                <w:rFonts w:hint="eastAsia" w:ascii="宋体" w:hAnsi="宋体" w:cs="宋体"/>
                <w:color w:val="000000"/>
                <w:sz w:val="22"/>
                <w:szCs w:val="22"/>
              </w:rPr>
              <w:t>只</w:t>
            </w:r>
          </w:p>
        </w:tc>
        <w:tc>
          <w:tcPr>
            <w:tcW w:w="903" w:type="dxa"/>
            <w:vMerge w:val="restart"/>
            <w:tcBorders>
              <w:top w:val="single" w:color="000000" w:sz="4" w:space="0"/>
              <w:left w:val="single" w:color="000000" w:sz="4" w:space="0"/>
              <w:right w:val="single" w:color="000000" w:sz="4" w:space="0"/>
            </w:tcBorders>
            <w:noWrap/>
            <w:vAlign w:val="center"/>
          </w:tcPr>
          <w:p>
            <w:pPr>
              <w:jc w:val="center"/>
              <w:rPr>
                <w:rFonts w:ascii="宋体" w:hAnsi="宋体" w:cs="宋体"/>
                <w:color w:val="000000"/>
                <w:sz w:val="22"/>
                <w:szCs w:val="22"/>
              </w:rPr>
            </w:pPr>
            <w:r>
              <w:rPr>
                <w:rFonts w:hint="eastAsia" w:ascii="宋体" w:hAnsi="宋体" w:cs="宋体"/>
                <w:color w:val="000000"/>
                <w:sz w:val="22"/>
                <w:szCs w:val="22"/>
              </w:rPr>
              <w:t>2</w:t>
            </w:r>
          </w:p>
        </w:tc>
        <w:tc>
          <w:tcPr>
            <w:tcW w:w="2319" w:type="dxa"/>
            <w:vMerge w:val="restart"/>
            <w:tcBorders>
              <w:top w:val="single" w:color="000000" w:sz="4" w:space="0"/>
              <w:left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51" w:hRule="atLeast"/>
        </w:trPr>
        <w:tc>
          <w:tcPr>
            <w:tcW w:w="1705" w:type="dxa"/>
            <w:vMerge w:val="continue"/>
            <w:tcBorders>
              <w:left w:val="single" w:color="000000" w:sz="4" w:space="0"/>
              <w:bottom w:val="single" w:color="000000" w:sz="4" w:space="0"/>
              <w:right w:val="single" w:color="000000" w:sz="4" w:space="0"/>
            </w:tcBorders>
            <w:noWrap/>
            <w:vAlign w:val="center"/>
          </w:tcPr>
          <w:p>
            <w:pPr>
              <w:widowControl/>
              <w:jc w:val="left"/>
              <w:textAlignment w:val="cente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产地品牌（参照或相当于）：格力、海尔、大金</w:t>
            </w:r>
          </w:p>
        </w:tc>
        <w:tc>
          <w:tcPr>
            <w:tcW w:w="656" w:type="dxa"/>
            <w:vMerge w:val="continue"/>
            <w:tcBorders>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lang w:bidi="ar"/>
              </w:rPr>
            </w:pPr>
          </w:p>
        </w:tc>
        <w:tc>
          <w:tcPr>
            <w:tcW w:w="903" w:type="dxa"/>
            <w:vMerge w:val="continue"/>
            <w:tcBorders>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lang w:bidi="ar"/>
              </w:rPr>
            </w:pPr>
          </w:p>
        </w:tc>
        <w:tc>
          <w:tcPr>
            <w:tcW w:w="2319" w:type="dxa"/>
            <w:vMerge w:val="continue"/>
            <w:tcBorders>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lang w:bidi="ar"/>
              </w:rPr>
            </w:pPr>
          </w:p>
        </w:tc>
      </w:tr>
      <w:tr>
        <w:tblPrEx>
          <w:tblCellMar>
            <w:top w:w="0" w:type="dxa"/>
            <w:left w:w="108" w:type="dxa"/>
            <w:bottom w:w="0" w:type="dxa"/>
            <w:right w:w="108" w:type="dxa"/>
          </w:tblCellMar>
        </w:tblPrEx>
        <w:trPr>
          <w:trHeight w:val="156" w:hRule="atLeast"/>
        </w:trPr>
        <w:tc>
          <w:tcPr>
            <w:tcW w:w="1705" w:type="dxa"/>
            <w:vMerge w:val="restart"/>
            <w:tcBorders>
              <w:top w:val="single" w:color="000000" w:sz="4" w:space="0"/>
              <w:left w:val="single" w:color="000000" w:sz="4" w:space="0"/>
              <w:right w:val="single" w:color="000000" w:sz="4" w:space="0"/>
            </w:tcBorders>
            <w:noWrap/>
            <w:vAlign w:val="center"/>
          </w:tcPr>
          <w:p>
            <w:pPr>
              <w:jc w:val="center"/>
              <w:rPr>
                <w:rFonts w:ascii="宋体" w:hAnsi="宋体" w:cs="宋体"/>
                <w:color w:val="000000"/>
                <w:sz w:val="22"/>
                <w:szCs w:val="22"/>
              </w:rP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1.5P空调</w:t>
            </w:r>
          </w:p>
        </w:tc>
        <w:tc>
          <w:tcPr>
            <w:tcW w:w="656" w:type="dxa"/>
            <w:vMerge w:val="restart"/>
            <w:tcBorders>
              <w:top w:val="single" w:color="000000" w:sz="4" w:space="0"/>
              <w:left w:val="single" w:color="000000" w:sz="4" w:space="0"/>
              <w:right w:val="single" w:color="000000" w:sz="4" w:space="0"/>
            </w:tcBorders>
            <w:noWrap/>
            <w:vAlign w:val="center"/>
          </w:tcPr>
          <w:p>
            <w:pPr>
              <w:jc w:val="center"/>
              <w:rPr>
                <w:rFonts w:ascii="宋体" w:hAnsi="宋体" w:cs="宋体"/>
                <w:color w:val="000000"/>
                <w:sz w:val="22"/>
                <w:szCs w:val="22"/>
              </w:rPr>
            </w:pPr>
            <w:r>
              <w:rPr>
                <w:rFonts w:hint="eastAsia" w:ascii="宋体" w:hAnsi="宋体" w:cs="宋体"/>
                <w:color w:val="000000"/>
                <w:sz w:val="22"/>
                <w:szCs w:val="22"/>
              </w:rPr>
              <w:t>只</w:t>
            </w:r>
          </w:p>
        </w:tc>
        <w:tc>
          <w:tcPr>
            <w:tcW w:w="903" w:type="dxa"/>
            <w:vMerge w:val="restart"/>
            <w:tcBorders>
              <w:top w:val="single" w:color="000000" w:sz="4" w:space="0"/>
              <w:left w:val="single" w:color="000000" w:sz="4" w:space="0"/>
              <w:right w:val="single" w:color="000000" w:sz="4" w:space="0"/>
            </w:tcBorders>
            <w:noWrap/>
            <w:vAlign w:val="center"/>
          </w:tcPr>
          <w:p>
            <w:pPr>
              <w:jc w:val="center"/>
              <w:rPr>
                <w:rFonts w:ascii="宋体" w:hAnsi="宋体" w:cs="宋体"/>
                <w:color w:val="000000"/>
                <w:sz w:val="22"/>
                <w:szCs w:val="22"/>
              </w:rPr>
            </w:pPr>
            <w:r>
              <w:rPr>
                <w:rFonts w:hint="eastAsia" w:ascii="宋体" w:hAnsi="宋体" w:cs="宋体"/>
                <w:color w:val="000000"/>
                <w:sz w:val="22"/>
                <w:szCs w:val="22"/>
              </w:rPr>
              <w:t>1</w:t>
            </w:r>
          </w:p>
        </w:tc>
        <w:tc>
          <w:tcPr>
            <w:tcW w:w="2319" w:type="dxa"/>
            <w:vMerge w:val="restart"/>
            <w:tcBorders>
              <w:top w:val="single" w:color="000000" w:sz="4" w:space="0"/>
              <w:left w:val="single" w:color="000000" w:sz="4" w:space="0"/>
              <w:right w:val="single" w:color="000000" w:sz="4" w:space="0"/>
            </w:tcBorders>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156" w:hRule="atLeast"/>
        </w:trPr>
        <w:tc>
          <w:tcPr>
            <w:tcW w:w="1705" w:type="dxa"/>
            <w:vMerge w:val="continue"/>
            <w:tcBorders>
              <w:left w:val="single" w:color="000000" w:sz="4" w:space="0"/>
              <w:bottom w:val="single" w:color="000000" w:sz="4" w:space="0"/>
              <w:right w:val="single" w:color="000000" w:sz="4" w:space="0"/>
            </w:tcBorders>
            <w:noWrap/>
            <w:vAlign w:val="center"/>
          </w:tcPr>
          <w:p>
            <w:pPr>
              <w:widowControl/>
              <w:jc w:val="left"/>
              <w:textAlignment w:val="center"/>
            </w:pPr>
          </w:p>
        </w:tc>
        <w:tc>
          <w:tcPr>
            <w:tcW w:w="369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lang w:bidi="ar"/>
              </w:rPr>
            </w:pPr>
            <w:r>
              <w:rPr>
                <w:rFonts w:hint="eastAsia" w:ascii="宋体" w:hAnsi="宋体" w:cs="宋体"/>
                <w:color w:val="000000"/>
                <w:sz w:val="22"/>
                <w:szCs w:val="22"/>
                <w:lang w:bidi="ar"/>
              </w:rPr>
              <w:t>产地品牌（参照或相当于）：格力、海尔、大金</w:t>
            </w:r>
          </w:p>
        </w:tc>
        <w:tc>
          <w:tcPr>
            <w:tcW w:w="656" w:type="dxa"/>
            <w:vMerge w:val="continue"/>
            <w:tcBorders>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lang w:bidi="ar"/>
              </w:rPr>
            </w:pPr>
          </w:p>
        </w:tc>
        <w:tc>
          <w:tcPr>
            <w:tcW w:w="903" w:type="dxa"/>
            <w:vMerge w:val="continue"/>
            <w:tcBorders>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lang w:bidi="ar"/>
              </w:rPr>
            </w:pPr>
          </w:p>
        </w:tc>
        <w:tc>
          <w:tcPr>
            <w:tcW w:w="2319" w:type="dxa"/>
            <w:vMerge w:val="continue"/>
            <w:tcBorders>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lang w:bidi="ar"/>
              </w:rPr>
            </w:pPr>
          </w:p>
        </w:tc>
      </w:tr>
    </w:tbl>
    <w:p>
      <w:pPr>
        <w:autoSpaceDE w:val="0"/>
        <w:autoSpaceDN w:val="0"/>
        <w:adjustRightInd w:val="0"/>
        <w:spacing w:line="360" w:lineRule="auto"/>
        <w:ind w:firstLine="482" w:firstLineChars="200"/>
        <w:jc w:val="left"/>
        <w:rPr>
          <w:rFonts w:ascii="宋体"/>
          <w:b/>
          <w:bCs/>
          <w:sz w:val="24"/>
        </w:rPr>
      </w:pPr>
      <w:r>
        <w:rPr>
          <w:rFonts w:hint="eastAsia" w:ascii="宋体"/>
          <w:b/>
          <w:bCs/>
          <w:sz w:val="24"/>
        </w:rPr>
        <w:t>注：1</w:t>
      </w:r>
      <w:r>
        <w:rPr>
          <w:rFonts w:hint="default" w:ascii="宋体"/>
          <w:b/>
          <w:bCs/>
          <w:sz w:val="24"/>
        </w:rPr>
        <w:t>.</w:t>
      </w:r>
      <w:r>
        <w:rPr>
          <w:rFonts w:hint="eastAsia" w:ascii="宋体"/>
          <w:b/>
          <w:bCs/>
          <w:sz w:val="24"/>
        </w:rPr>
        <w:t>在本章中，为了方便起见，可能会采取按某种品牌货物的规格和型号予以表述，但并不因此限制或者拒绝投标人以其他能满足本项目技术需求且性能与所明确品牌相当或更优的货物参加投标，如投标的货物优于采购要求，请在偏离表内具体表述正偏离内容及理由。</w:t>
      </w:r>
    </w:p>
    <w:p>
      <w:pPr>
        <w:autoSpaceDE w:val="0"/>
        <w:autoSpaceDN w:val="0"/>
        <w:adjustRightInd w:val="0"/>
        <w:spacing w:line="360" w:lineRule="auto"/>
        <w:ind w:firstLine="482" w:firstLineChars="200"/>
        <w:jc w:val="left"/>
        <w:rPr>
          <w:rFonts w:hint="eastAsia" w:ascii="宋体"/>
          <w:b/>
          <w:bCs/>
          <w:sz w:val="24"/>
        </w:rPr>
      </w:pPr>
      <w:r>
        <w:rPr>
          <w:rFonts w:ascii="宋体"/>
          <w:b/>
          <w:bCs/>
          <w:sz w:val="24"/>
        </w:rPr>
        <w:t xml:space="preserve"> </w:t>
      </w:r>
      <w:r>
        <w:rPr>
          <w:rFonts w:hint="eastAsia" w:ascii="宋体"/>
          <w:b/>
          <w:bCs/>
          <w:sz w:val="24"/>
        </w:rPr>
        <w:t>2</w:t>
      </w:r>
      <w:r>
        <w:rPr>
          <w:rFonts w:hint="default" w:ascii="宋体"/>
          <w:b/>
          <w:bCs/>
          <w:sz w:val="24"/>
        </w:rPr>
        <w:t>.</w:t>
      </w:r>
      <w:r>
        <w:rPr>
          <w:rFonts w:hint="eastAsia" w:ascii="宋体"/>
          <w:b/>
          <w:bCs/>
          <w:sz w:val="24"/>
        </w:rPr>
        <w:t>★中标候选人</w:t>
      </w:r>
      <w:r>
        <w:rPr>
          <w:rFonts w:hint="eastAsia" w:ascii="宋体"/>
          <w:b/>
          <w:bCs/>
          <w:sz w:val="24"/>
          <w:lang w:eastAsia="zh-CN"/>
        </w:rPr>
        <w:t>须在中标后</w:t>
      </w:r>
      <w:r>
        <w:rPr>
          <w:rFonts w:hint="eastAsia" w:ascii="宋体"/>
          <w:b/>
          <w:bCs/>
          <w:sz w:val="24"/>
        </w:rPr>
        <w:t>3日内提供技术文件中所需的所有证明文件并加盖公章（原件备查）</w:t>
      </w:r>
      <w:r>
        <w:rPr>
          <w:rFonts w:hint="eastAsia" w:ascii="宋体"/>
          <w:b/>
          <w:bCs/>
          <w:sz w:val="24"/>
          <w:lang w:eastAsia="zh-CN"/>
        </w:rPr>
        <w:t>，</w:t>
      </w:r>
      <w:r>
        <w:rPr>
          <w:rFonts w:hint="eastAsia" w:ascii="宋体"/>
          <w:b/>
          <w:bCs/>
          <w:sz w:val="24"/>
        </w:rPr>
        <w:t>若中标候选人在规定时间内未提供或提供不全的，</w:t>
      </w:r>
      <w:r>
        <w:rPr>
          <w:rFonts w:hint="eastAsia" w:ascii="宋体"/>
          <w:b/>
          <w:bCs/>
          <w:sz w:val="24"/>
          <w:lang w:eastAsia="zh-CN"/>
        </w:rPr>
        <w:t>采购单位</w:t>
      </w:r>
      <w:r>
        <w:rPr>
          <w:rFonts w:hint="eastAsia" w:ascii="宋体"/>
          <w:b/>
          <w:bCs/>
          <w:sz w:val="24"/>
        </w:rPr>
        <w:t>有权不与</w:t>
      </w:r>
      <w:r>
        <w:rPr>
          <w:rFonts w:hint="eastAsia" w:ascii="宋体"/>
          <w:b/>
          <w:bCs/>
          <w:sz w:val="24"/>
          <w:lang w:eastAsia="zh-CN"/>
        </w:rPr>
        <w:t>其</w:t>
      </w:r>
      <w:r>
        <w:rPr>
          <w:rFonts w:hint="eastAsia" w:ascii="宋体"/>
          <w:b/>
          <w:bCs/>
          <w:sz w:val="24"/>
        </w:rPr>
        <w:t>签订合同，并保留追究其在招投标活动中的欺诈行为的法律责任，所产生的一切</w:t>
      </w:r>
      <w:r>
        <w:rPr>
          <w:rFonts w:hint="eastAsia" w:ascii="宋体"/>
          <w:b/>
          <w:bCs/>
          <w:sz w:val="24"/>
          <w:lang w:eastAsia="zh-CN"/>
        </w:rPr>
        <w:t>损失</w:t>
      </w:r>
      <w:r>
        <w:rPr>
          <w:rFonts w:hint="eastAsia" w:ascii="宋体"/>
          <w:b/>
          <w:bCs/>
          <w:sz w:val="24"/>
        </w:rPr>
        <w:t>由中标候选人承担。</w:t>
      </w:r>
    </w:p>
    <w:p>
      <w:pPr>
        <w:pStyle w:val="2"/>
      </w:pPr>
    </w:p>
    <w:p>
      <w:pPr>
        <w:pStyle w:val="5"/>
        <w:numPr>
          <w:ilvl w:val="0"/>
          <w:numId w:val="15"/>
        </w:numPr>
        <w:spacing w:line="720" w:lineRule="auto"/>
        <w:jc w:val="center"/>
        <w:rPr>
          <w:rFonts w:hint="eastAsia"/>
          <w:kern w:val="0"/>
          <w:sz w:val="30"/>
          <w:szCs w:val="30"/>
        </w:rPr>
      </w:pPr>
      <w:r>
        <w:rPr>
          <w:rFonts w:hint="eastAsia"/>
          <w:kern w:val="0"/>
          <w:sz w:val="30"/>
          <w:szCs w:val="30"/>
        </w:rPr>
        <w:t>付款方式</w:t>
      </w:r>
    </w:p>
    <w:p>
      <w:pPr>
        <w:numPr>
          <w:ilvl w:val="-1"/>
          <w:numId w:val="0"/>
        </w:numPr>
        <w:spacing w:line="360" w:lineRule="auto"/>
        <w:ind w:firstLine="482" w:firstLineChars="200"/>
        <w:rPr>
          <w:color w:val="auto"/>
        </w:rPr>
      </w:pPr>
      <w:r>
        <w:rPr>
          <w:rFonts w:hint="eastAsia" w:ascii="宋体" w:hAnsi="宋体" w:cs="宋体"/>
          <w:b/>
          <w:bCs/>
          <w:color w:val="auto"/>
          <w:sz w:val="24"/>
          <w:szCs w:val="24"/>
          <w:highlight w:val="none"/>
          <w:lang w:val="en-US" w:eastAsia="zh-CN"/>
        </w:rPr>
        <w:t>1</w:t>
      </w:r>
      <w:r>
        <w:rPr>
          <w:rFonts w:hint="default" w:ascii="宋体" w:hAnsi="宋体" w:cs="宋体"/>
          <w:b/>
          <w:bCs/>
          <w:color w:val="auto"/>
          <w:sz w:val="24"/>
          <w:szCs w:val="24"/>
          <w:highlight w:val="none"/>
          <w:lang w:eastAsia="zh-CN"/>
        </w:rPr>
        <w:t>.</w:t>
      </w:r>
      <w:r>
        <w:rPr>
          <w:rFonts w:hint="eastAsia" w:ascii="宋体" w:hAnsi="宋体" w:cs="宋体"/>
          <w:b/>
          <w:bCs/>
          <w:color w:val="auto"/>
          <w:sz w:val="24"/>
          <w:szCs w:val="24"/>
          <w:highlight w:val="none"/>
        </w:rPr>
        <w:t>中标人在收到中标通知书后，需向采购人提供合同总价1%的履约保证金；在完成全部供货并提交全部资料并通过验收合格后退还（不计息）</w:t>
      </w:r>
      <w:r>
        <w:rPr>
          <w:rFonts w:hint="eastAsia" w:ascii="宋体" w:hAnsi="宋体"/>
          <w:color w:val="auto"/>
          <w:sz w:val="24"/>
          <w:szCs w:val="24"/>
        </w:rPr>
        <w:t>，</w:t>
      </w:r>
      <w:r>
        <w:rPr>
          <w:rFonts w:hint="default" w:ascii="宋体" w:hAnsi="宋体"/>
          <w:color w:val="auto"/>
          <w:sz w:val="24"/>
          <w:szCs w:val="24"/>
        </w:rPr>
        <w:t>中标人</w:t>
      </w:r>
      <w:r>
        <w:rPr>
          <w:rFonts w:hint="eastAsia" w:ascii="宋体" w:hAnsi="宋体"/>
          <w:color w:val="auto"/>
          <w:sz w:val="24"/>
          <w:szCs w:val="24"/>
        </w:rPr>
        <w:t>以保函形式提交履约担保的，保函自动失效（由于中标人引起的工期延误的，则履约担保有效期顺延）</w:t>
      </w:r>
      <w:r>
        <w:rPr>
          <w:rFonts w:hint="eastAsia" w:ascii="宋体" w:hAnsi="宋体" w:cs="宋体"/>
          <w:b/>
          <w:bCs/>
          <w:color w:val="auto"/>
          <w:sz w:val="24"/>
          <w:szCs w:val="24"/>
          <w:highlight w:val="none"/>
        </w:rPr>
        <w:t>。</w:t>
      </w:r>
    </w:p>
    <w:p>
      <w:pPr>
        <w:spacing w:line="360" w:lineRule="auto"/>
        <w:ind w:firstLine="482" w:firstLineChars="200"/>
        <w:rPr>
          <w:rFonts w:hint="eastAsia"/>
          <w:color w:val="auto"/>
          <w:sz w:val="24"/>
          <w:szCs w:val="24"/>
          <w:highlight w:val="none"/>
        </w:rPr>
      </w:pPr>
      <w:r>
        <w:rPr>
          <w:rFonts w:hint="eastAsia" w:ascii="宋体" w:hAnsi="宋体" w:cs="宋体"/>
          <w:b/>
          <w:bCs/>
          <w:color w:val="auto"/>
          <w:sz w:val="24"/>
          <w:szCs w:val="24"/>
          <w:highlight w:val="none"/>
          <w:lang w:val="en-US" w:eastAsia="zh-CN"/>
        </w:rPr>
        <w:t>2</w:t>
      </w:r>
      <w:r>
        <w:rPr>
          <w:rFonts w:hint="default" w:ascii="宋体" w:hAnsi="宋体" w:cs="宋体"/>
          <w:b/>
          <w:bCs/>
          <w:color w:val="auto"/>
          <w:sz w:val="24"/>
          <w:szCs w:val="24"/>
          <w:highlight w:val="none"/>
          <w:lang w:eastAsia="zh-CN"/>
        </w:rPr>
        <w:t>.</w:t>
      </w:r>
      <w:r>
        <w:rPr>
          <w:rFonts w:hint="eastAsia" w:ascii="宋体" w:hAnsi="宋体" w:cs="宋体"/>
          <w:b/>
          <w:bCs/>
          <w:color w:val="auto"/>
          <w:sz w:val="24"/>
          <w:szCs w:val="24"/>
          <w:highlight w:val="none"/>
        </w:rPr>
        <w:t>验收合格</w:t>
      </w:r>
      <w:r>
        <w:rPr>
          <w:rFonts w:hint="eastAsia" w:ascii="宋体" w:hAnsi="宋体" w:cs="宋体"/>
          <w:b/>
          <w:bCs/>
          <w:color w:val="auto"/>
          <w:sz w:val="24"/>
          <w:szCs w:val="24"/>
          <w:highlight w:val="none"/>
          <w:lang w:eastAsia="zh-CN"/>
        </w:rPr>
        <w:t>后</w:t>
      </w:r>
      <w:r>
        <w:rPr>
          <w:rFonts w:hint="eastAsia" w:ascii="宋体" w:hAnsi="宋体" w:cs="宋体"/>
          <w:b/>
          <w:bCs/>
          <w:color w:val="auto"/>
          <w:sz w:val="24"/>
          <w:szCs w:val="24"/>
          <w:highlight w:val="none"/>
        </w:rPr>
        <w:t>支付至</w:t>
      </w:r>
      <w:r>
        <w:rPr>
          <w:rFonts w:hint="eastAsia" w:ascii="宋体" w:hAnsi="宋体" w:cs="宋体"/>
          <w:b/>
          <w:bCs/>
          <w:color w:val="auto"/>
          <w:sz w:val="24"/>
          <w:szCs w:val="24"/>
          <w:highlight w:val="none"/>
          <w:lang w:eastAsia="zh-CN"/>
        </w:rPr>
        <w:t>合同价</w:t>
      </w:r>
      <w:r>
        <w:rPr>
          <w:rFonts w:hint="eastAsia" w:ascii="宋体" w:hAnsi="宋体" w:cs="宋体"/>
          <w:b/>
          <w:bCs/>
          <w:color w:val="auto"/>
          <w:sz w:val="24"/>
          <w:szCs w:val="24"/>
          <w:highlight w:val="none"/>
        </w:rPr>
        <w:t>的9</w:t>
      </w:r>
      <w:r>
        <w:rPr>
          <w:rFonts w:hint="eastAsia" w:ascii="宋体" w:hAnsi="宋体" w:cs="宋体"/>
          <w:b/>
          <w:bCs/>
          <w:color w:val="auto"/>
          <w:sz w:val="24"/>
          <w:szCs w:val="24"/>
          <w:highlight w:val="none"/>
          <w:lang w:val="en-US" w:eastAsia="zh-CN"/>
        </w:rPr>
        <w:t>7</w:t>
      </w:r>
      <w:r>
        <w:rPr>
          <w:rFonts w:hint="eastAsia" w:ascii="宋体" w:hAnsi="宋体" w:cs="宋体"/>
          <w:b/>
          <w:bCs/>
          <w:color w:val="auto"/>
          <w:sz w:val="24"/>
          <w:szCs w:val="24"/>
          <w:highlight w:val="none"/>
        </w:rPr>
        <w:t>%，同时提供税率为13%的全额增值税专用发票；剩余的</w:t>
      </w:r>
      <w:r>
        <w:rPr>
          <w:rFonts w:hint="eastAsia" w:ascii="宋体" w:hAnsi="宋体" w:cs="宋体"/>
          <w:b/>
          <w:bCs/>
          <w:color w:val="auto"/>
          <w:sz w:val="24"/>
          <w:szCs w:val="24"/>
          <w:highlight w:val="none"/>
          <w:lang w:val="en-US" w:eastAsia="zh-CN"/>
        </w:rPr>
        <w:t>3</w:t>
      </w:r>
      <w:r>
        <w:rPr>
          <w:rFonts w:hint="eastAsia" w:ascii="宋体" w:hAnsi="宋体" w:cs="宋体"/>
          <w:b/>
          <w:bCs/>
          <w:color w:val="auto"/>
          <w:sz w:val="24"/>
          <w:szCs w:val="24"/>
          <w:highlight w:val="none"/>
        </w:rPr>
        <w:t>%在质保期满后支付。</w:t>
      </w:r>
    </w:p>
    <w:p/>
    <w:p>
      <w:pPr>
        <w:pStyle w:val="5"/>
        <w:jc w:val="center"/>
        <w:rPr>
          <w:rFonts w:cs="Times New Roman" w:asciiTheme="minorEastAsia" w:hAnsiTheme="minorEastAsia" w:eastAsiaTheme="minorEastAsia"/>
          <w:sz w:val="36"/>
          <w:szCs w:val="36"/>
        </w:rPr>
      </w:pPr>
      <w:r>
        <w:rPr>
          <w:rFonts w:hint="eastAsia" w:cs="宋体" w:asciiTheme="minorEastAsia" w:hAnsiTheme="minorEastAsia" w:eastAsiaTheme="minorEastAsia"/>
          <w:sz w:val="36"/>
          <w:szCs w:val="36"/>
        </w:rPr>
        <w:t>第四部分</w:t>
      </w:r>
      <w:bookmarkEnd w:id="79"/>
      <w:r>
        <w:rPr>
          <w:rFonts w:hint="eastAsia" w:cs="宋体" w:asciiTheme="minorEastAsia" w:hAnsiTheme="minorEastAsia" w:eastAsiaTheme="minorEastAsia"/>
          <w:sz w:val="36"/>
          <w:szCs w:val="36"/>
        </w:rPr>
        <w:t>询价细则及询价方法</w:t>
      </w:r>
      <w:bookmarkEnd w:id="84"/>
    </w:p>
    <w:p>
      <w:pPr>
        <w:pStyle w:val="2"/>
        <w:numPr>
          <w:ilvl w:val="0"/>
          <w:numId w:val="16"/>
        </w:numPr>
        <w:jc w:val="center"/>
        <w:rPr>
          <w:rFonts w:cs="Times New Roman" w:asciiTheme="minorEastAsia" w:hAnsiTheme="minorEastAsia" w:eastAsiaTheme="minorEastAsia"/>
        </w:rPr>
      </w:pPr>
      <w:bookmarkStart w:id="87" w:name="_Toc110244165"/>
      <w:bookmarkStart w:id="88" w:name="_Toc1265"/>
      <w:r>
        <w:rPr>
          <w:rFonts w:hint="eastAsia" w:asciiTheme="minorEastAsia" w:hAnsiTheme="minorEastAsia" w:eastAsiaTheme="minorEastAsia"/>
        </w:rPr>
        <w:t>询价原则</w:t>
      </w:r>
      <w:bookmarkEnd w:id="87"/>
      <w:bookmarkEnd w:id="88"/>
    </w:p>
    <w:p>
      <w:pPr>
        <w:pStyle w:val="3"/>
        <w:spacing w:line="360" w:lineRule="auto"/>
        <w:ind w:firstLine="480" w:firstLineChars="200"/>
        <w:rPr>
          <w:rFonts w:ascii="宋体" w:hAnsi="宋体" w:cs="宋体"/>
          <w:sz w:val="24"/>
          <w:szCs w:val="22"/>
        </w:rPr>
      </w:pPr>
      <w:r>
        <w:rPr>
          <w:rFonts w:hint="eastAsia" w:ascii="宋体" w:hAnsi="宋体" w:cs="宋体"/>
          <w:sz w:val="24"/>
          <w:szCs w:val="22"/>
        </w:rPr>
        <w:t>1</w:t>
      </w:r>
      <w:r>
        <w:rPr>
          <w:rFonts w:hint="default" w:ascii="宋体" w:hAnsi="宋体" w:cs="宋体"/>
          <w:sz w:val="24"/>
          <w:szCs w:val="22"/>
        </w:rPr>
        <w:t>.</w:t>
      </w:r>
      <w:r>
        <w:rPr>
          <w:rFonts w:hint="eastAsia" w:ascii="宋体" w:hAnsi="宋体" w:cs="宋体"/>
          <w:sz w:val="24"/>
          <w:szCs w:val="22"/>
        </w:rPr>
        <w:t>本次询价本着公平、公正、科学、择优的原则，邀请各询价供应商参加。</w:t>
      </w:r>
    </w:p>
    <w:p>
      <w:pPr>
        <w:pStyle w:val="3"/>
        <w:spacing w:line="360" w:lineRule="auto"/>
        <w:ind w:firstLine="480" w:firstLineChars="200"/>
        <w:rPr>
          <w:rFonts w:ascii="宋体" w:hAnsi="宋体" w:cs="宋体"/>
          <w:sz w:val="24"/>
          <w:szCs w:val="22"/>
        </w:rPr>
      </w:pPr>
      <w:r>
        <w:rPr>
          <w:rFonts w:hint="eastAsia" w:ascii="宋体" w:hAnsi="宋体" w:cs="宋体"/>
          <w:sz w:val="24"/>
          <w:szCs w:val="22"/>
        </w:rPr>
        <w:t>2</w:t>
      </w:r>
      <w:r>
        <w:rPr>
          <w:rFonts w:hint="default" w:ascii="宋体" w:hAnsi="宋体" w:cs="宋体"/>
          <w:sz w:val="24"/>
          <w:szCs w:val="22"/>
        </w:rPr>
        <w:t>.</w:t>
      </w:r>
      <w:r>
        <w:rPr>
          <w:rFonts w:hint="eastAsia" w:ascii="宋体" w:hAnsi="宋体" w:cs="宋体"/>
          <w:sz w:val="24"/>
          <w:szCs w:val="22"/>
        </w:rPr>
        <w:t>询价小组将严格按照询价文件的要求，对供应商的响应文件进行认真评审；询价小组对响应文件的评审仅依据响应文件本身，而不依据响应文件以外的任何因素。</w:t>
      </w:r>
    </w:p>
    <w:p>
      <w:pPr>
        <w:pStyle w:val="3"/>
        <w:spacing w:line="336" w:lineRule="auto"/>
        <w:ind w:firstLine="480" w:firstLineChars="200"/>
        <w:rPr>
          <w:rFonts w:asciiTheme="minorEastAsia" w:hAnsiTheme="minorEastAsia" w:eastAsiaTheme="minorEastAsia"/>
          <w:sz w:val="24"/>
          <w:szCs w:val="24"/>
        </w:rPr>
      </w:pPr>
      <w:r>
        <w:rPr>
          <w:rFonts w:hint="eastAsia" w:ascii="宋体" w:hAnsi="宋体" w:cs="宋体"/>
          <w:sz w:val="24"/>
          <w:szCs w:val="22"/>
        </w:rPr>
        <w:t>3</w:t>
      </w:r>
      <w:r>
        <w:rPr>
          <w:rFonts w:hint="default" w:ascii="宋体" w:hAnsi="宋体" w:cs="宋体"/>
          <w:sz w:val="24"/>
          <w:szCs w:val="22"/>
        </w:rPr>
        <w:t>.</w:t>
      </w:r>
      <w:r>
        <w:rPr>
          <w:rFonts w:hint="eastAsia" w:ascii="宋体" w:hAnsi="宋体" w:cs="宋体"/>
          <w:sz w:val="24"/>
          <w:szCs w:val="22"/>
        </w:rPr>
        <w:t>询价小组按照统一的询价原则和询价方法，用同一标准对所有响应文件进行评审。</w:t>
      </w:r>
    </w:p>
    <w:p>
      <w:pPr>
        <w:pStyle w:val="2"/>
        <w:numPr>
          <w:ilvl w:val="0"/>
          <w:numId w:val="16"/>
        </w:numPr>
        <w:jc w:val="center"/>
        <w:rPr>
          <w:rFonts w:cs="Times New Roman" w:asciiTheme="minorEastAsia" w:hAnsiTheme="minorEastAsia" w:eastAsiaTheme="minorEastAsia"/>
        </w:rPr>
      </w:pPr>
      <w:bookmarkStart w:id="89" w:name="_Toc10093"/>
      <w:bookmarkStart w:id="90" w:name="_Toc110244166"/>
      <w:r>
        <w:rPr>
          <w:rFonts w:hint="eastAsia" w:asciiTheme="minorEastAsia" w:hAnsiTheme="minorEastAsia" w:eastAsiaTheme="minorEastAsia"/>
        </w:rPr>
        <w:t>询价程序</w:t>
      </w:r>
      <w:bookmarkEnd w:id="89"/>
      <w:bookmarkEnd w:id="90"/>
    </w:p>
    <w:p>
      <w:pPr>
        <w:pStyle w:val="15"/>
        <w:spacing w:line="360" w:lineRule="auto"/>
        <w:ind w:firstLine="482" w:firstLineChars="200"/>
        <w:rPr>
          <w:rFonts w:hAnsi="宋体"/>
          <w:b/>
          <w:sz w:val="24"/>
          <w:szCs w:val="24"/>
        </w:rPr>
      </w:pPr>
      <w:r>
        <w:rPr>
          <w:rFonts w:hint="eastAsia" w:hAnsi="宋体"/>
          <w:b/>
          <w:sz w:val="24"/>
          <w:szCs w:val="24"/>
        </w:rPr>
        <w:t>1</w:t>
      </w:r>
      <w:r>
        <w:rPr>
          <w:rFonts w:hint="default" w:hAnsi="宋体"/>
          <w:b/>
          <w:sz w:val="24"/>
          <w:szCs w:val="24"/>
        </w:rPr>
        <w:t>.</w:t>
      </w:r>
      <w:r>
        <w:rPr>
          <w:rFonts w:hint="eastAsia" w:hAnsi="宋体"/>
          <w:b/>
          <w:sz w:val="24"/>
          <w:szCs w:val="24"/>
        </w:rPr>
        <w:t>评审</w:t>
      </w:r>
    </w:p>
    <w:p>
      <w:pPr>
        <w:pStyle w:val="15"/>
        <w:spacing w:line="360" w:lineRule="auto"/>
        <w:ind w:firstLine="480" w:firstLineChars="200"/>
        <w:rPr>
          <w:rFonts w:hAnsi="宋体"/>
          <w:sz w:val="24"/>
        </w:rPr>
      </w:pPr>
      <w:r>
        <w:rPr>
          <w:rFonts w:hint="eastAsia" w:hAnsi="宋体"/>
          <w:sz w:val="24"/>
        </w:rPr>
        <w:t>1.1在询价响应截止时间前按规定提交响应文件的供应商在三家（含）以上的，由采购人或采购代理机构组织进行开标。</w:t>
      </w:r>
    </w:p>
    <w:p>
      <w:pPr>
        <w:pStyle w:val="15"/>
        <w:spacing w:line="360" w:lineRule="auto"/>
        <w:ind w:firstLine="482" w:firstLineChars="200"/>
        <w:rPr>
          <w:rFonts w:hAnsi="宋体"/>
          <w:sz w:val="24"/>
          <w:szCs w:val="24"/>
        </w:rPr>
      </w:pPr>
      <w:r>
        <w:rPr>
          <w:rFonts w:hint="eastAsia" w:hAnsi="宋体"/>
          <w:b/>
          <w:bCs/>
          <w:sz w:val="24"/>
        </w:rPr>
        <w:t>1.2供应商登录政采云平台，用“项目采购-开标评标”功能对电子询价响应文件进行在线解密。在线解密电子询价响应文件时间为开标时间起30分钟内。若电子询价响应文件解密失败，则由采购代理机构工作人员上传供应商提供的备份文件。</w:t>
      </w:r>
      <w:r>
        <w:rPr>
          <w:rFonts w:hint="eastAsia" w:hAnsi="宋体"/>
          <w:sz w:val="24"/>
          <w:szCs w:val="24"/>
        </w:rPr>
        <w:t>备份文件（后缀名为.bfbs）须存储在U盘中，与上传的电子询价响应文件一致，用信封进行密封并盖章，由授权代表在询价响应截止时间前递交至开标地点。</w:t>
      </w:r>
    </w:p>
    <w:p>
      <w:pPr>
        <w:pStyle w:val="15"/>
        <w:spacing w:line="360" w:lineRule="auto"/>
        <w:ind w:firstLine="480" w:firstLineChars="200"/>
        <w:rPr>
          <w:rFonts w:hAnsi="宋体"/>
          <w:sz w:val="24"/>
        </w:rPr>
      </w:pPr>
      <w:r>
        <w:rPr>
          <w:rFonts w:hint="eastAsia" w:hAnsi="宋体"/>
          <w:sz w:val="24"/>
        </w:rPr>
        <w:t>1.3采购人按询价文件规定的时间、地点公开开标。开标仪式由采购人或采购代理机构主持及有关人员参加。</w:t>
      </w:r>
    </w:p>
    <w:p>
      <w:pPr>
        <w:pStyle w:val="52"/>
        <w:spacing w:before="0"/>
        <w:ind w:firstLine="480"/>
        <w:rPr>
          <w:rFonts w:ascii="宋体" w:hAnsi="宋体" w:cs="宋体"/>
        </w:rPr>
      </w:pPr>
      <w:r>
        <w:rPr>
          <w:rFonts w:hint="eastAsia" w:ascii="宋体" w:hAnsi="宋体" w:cs="宋体"/>
        </w:rPr>
        <w:t>1.4本项目为电子投标项目，供应商一般不需要现场参加，若供应商需要指派授权代表递交备份文件，则授权代表应随身携带法定代表人授权书原件于</w:t>
      </w:r>
      <w:r>
        <w:rPr>
          <w:rFonts w:hint="eastAsia" w:hAnsi="宋体" w:cs="宋体"/>
        </w:rPr>
        <w:t>询价响应</w:t>
      </w:r>
      <w:r>
        <w:rPr>
          <w:rFonts w:hint="eastAsia" w:ascii="宋体" w:hAnsi="宋体" w:cs="宋体"/>
        </w:rPr>
        <w:t>截止时间前到达开标地点递交备份文件。若电子询价响应文件正常解锁，则U盘退还给供应商；若解锁失败，则由采购代理机构将U盘中的备份文件上传，该U盘将由采购代理机构保存。</w:t>
      </w:r>
    </w:p>
    <w:p>
      <w:pPr>
        <w:pStyle w:val="52"/>
        <w:spacing w:before="0"/>
        <w:ind w:firstLine="480"/>
        <w:rPr>
          <w:rFonts w:ascii="宋体" w:hAnsi="宋体" w:cs="宋体"/>
        </w:rPr>
      </w:pPr>
      <w:r>
        <w:rPr>
          <w:rFonts w:hint="eastAsia" w:ascii="宋体" w:hAnsi="宋体" w:cs="宋体"/>
        </w:rPr>
        <w:t>1.5两个以上的自然人、法人或者其他组织组成一个联合体，以一个供应商的身份共同参加采购活动的，应当对所有联合体成员进行信用记录查询，联合体成员存在不良信用记录的，视同联合体存在不良信用记录。</w:t>
      </w:r>
    </w:p>
    <w:p>
      <w:pPr>
        <w:spacing w:line="360" w:lineRule="auto"/>
        <w:ind w:firstLine="482" w:firstLineChars="200"/>
        <w:rPr>
          <w:rFonts w:ascii="宋体" w:hAnsi="宋体" w:cs="宋体"/>
          <w:b/>
          <w:bCs/>
          <w:sz w:val="24"/>
        </w:rPr>
      </w:pPr>
      <w:r>
        <w:rPr>
          <w:rFonts w:hint="eastAsia" w:ascii="宋体" w:hAnsi="宋体" w:cs="宋体"/>
          <w:b/>
          <w:bCs/>
          <w:sz w:val="24"/>
        </w:rPr>
        <w:t>2.组建询价小组</w:t>
      </w:r>
    </w:p>
    <w:p>
      <w:pPr>
        <w:pStyle w:val="52"/>
        <w:spacing w:before="0"/>
        <w:ind w:firstLine="480"/>
        <w:rPr>
          <w:rFonts w:ascii="宋体" w:hAnsi="宋体" w:cs="宋体"/>
        </w:rPr>
      </w:pPr>
      <w:r>
        <w:rPr>
          <w:rFonts w:hint="eastAsia" w:ascii="宋体" w:hAnsi="宋体" w:cs="宋体"/>
        </w:rPr>
        <w:t>2.1询价小组由采购人代表和评审专家组成，成员人数应当为 3 人以上单数，其中评审专家不得少于成员总数的三分之二。</w:t>
      </w:r>
    </w:p>
    <w:p>
      <w:pPr>
        <w:pStyle w:val="52"/>
        <w:tabs>
          <w:tab w:val="left" w:pos="0"/>
        </w:tabs>
        <w:spacing w:before="0"/>
        <w:ind w:firstLine="480"/>
        <w:rPr>
          <w:rFonts w:ascii="宋体" w:hAnsi="宋体" w:cs="宋体"/>
          <w:lang w:val="zh-CN"/>
        </w:rPr>
      </w:pPr>
      <w:r>
        <w:rPr>
          <w:rFonts w:hint="eastAsia" w:ascii="宋体" w:hAnsi="宋体" w:cs="宋体"/>
        </w:rPr>
        <w:t>2.2</w:t>
      </w:r>
      <w:r>
        <w:rPr>
          <w:rFonts w:hint="eastAsia" w:ascii="宋体" w:hAnsi="宋体" w:cs="宋体"/>
          <w:lang w:val="zh-CN"/>
        </w:rPr>
        <w:t>评标工作由</w:t>
      </w:r>
      <w:r>
        <w:rPr>
          <w:rFonts w:hint="eastAsia" w:ascii="宋体" w:hAnsi="宋体" w:cs="宋体"/>
        </w:rPr>
        <w:t>询价小组</w:t>
      </w:r>
      <w:r>
        <w:rPr>
          <w:rFonts w:hint="eastAsia" w:ascii="宋体" w:hAnsi="宋体" w:cs="宋体"/>
          <w:lang w:val="zh-CN"/>
        </w:rPr>
        <w:t>负责，并推选产生的组长主持；</w:t>
      </w:r>
    </w:p>
    <w:p>
      <w:pPr>
        <w:pStyle w:val="52"/>
        <w:spacing w:before="0"/>
        <w:ind w:firstLine="480"/>
        <w:rPr>
          <w:rFonts w:ascii="宋体" w:hAnsi="宋体" w:cs="宋体"/>
        </w:rPr>
      </w:pPr>
      <w:r>
        <w:rPr>
          <w:rFonts w:hint="eastAsia" w:ascii="宋体" w:hAnsi="宋体" w:cs="宋体"/>
        </w:rPr>
        <w:t>2.3</w:t>
      </w:r>
      <w:r>
        <w:rPr>
          <w:rFonts w:hint="eastAsia" w:ascii="宋体" w:hAnsi="宋体" w:cs="宋体"/>
          <w:lang w:val="zh-CN"/>
        </w:rPr>
        <w:t>本次评标为在线评标。</w:t>
      </w:r>
    </w:p>
    <w:p>
      <w:pPr>
        <w:snapToGrid w:val="0"/>
        <w:spacing w:line="360" w:lineRule="auto"/>
        <w:ind w:firstLine="482" w:firstLineChars="200"/>
        <w:rPr>
          <w:rFonts w:ascii="宋体" w:hAnsi="宋体" w:cs="宋体"/>
          <w:b/>
          <w:sz w:val="24"/>
        </w:rPr>
      </w:pPr>
      <w:r>
        <w:rPr>
          <w:rFonts w:hint="eastAsia" w:ascii="宋体" w:hAnsi="宋体" w:cs="宋体"/>
          <w:b/>
          <w:sz w:val="24"/>
        </w:rPr>
        <w:t>3.对所有响应文件的初审</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3.1资格审查</w:t>
      </w:r>
    </w:p>
    <w:p>
      <w:pPr>
        <w:adjustRightInd w:val="0"/>
        <w:snapToGrid w:val="0"/>
        <w:spacing w:line="360" w:lineRule="auto"/>
        <w:ind w:firstLine="480" w:firstLineChars="200"/>
        <w:rPr>
          <w:rFonts w:ascii="宋体" w:hAnsi="宋体" w:cs="宋体"/>
          <w:bCs/>
          <w:sz w:val="24"/>
        </w:rPr>
      </w:pPr>
      <w:r>
        <w:rPr>
          <w:rFonts w:hint="eastAsia" w:ascii="宋体" w:hAnsi="宋体" w:cs="宋体"/>
          <w:bCs/>
          <w:sz w:val="24"/>
        </w:rPr>
        <w:t>（1）开标后，询价小组将依法对供应商的资格进行审查。</w:t>
      </w:r>
    </w:p>
    <w:p>
      <w:pPr>
        <w:adjustRightInd w:val="0"/>
        <w:snapToGrid w:val="0"/>
        <w:spacing w:line="360" w:lineRule="auto"/>
        <w:ind w:firstLine="480" w:firstLineChars="200"/>
        <w:rPr>
          <w:rFonts w:ascii="宋体" w:hAnsi="宋体" w:cs="宋体"/>
          <w:bCs/>
          <w:sz w:val="24"/>
        </w:rPr>
      </w:pPr>
      <w:r>
        <w:rPr>
          <w:rFonts w:hint="eastAsia" w:ascii="宋体" w:hAnsi="宋体" w:cs="宋体"/>
          <w:bCs/>
          <w:sz w:val="24"/>
        </w:rPr>
        <w:t>（2）询价小组依据法律法规和询价文件的规定，对供应商的基本资格条件、特定资格条件进行审查。</w:t>
      </w:r>
    </w:p>
    <w:p>
      <w:pPr>
        <w:adjustRightInd w:val="0"/>
        <w:snapToGrid w:val="0"/>
        <w:spacing w:line="360" w:lineRule="auto"/>
        <w:ind w:firstLine="480" w:firstLineChars="200"/>
        <w:rPr>
          <w:rFonts w:ascii="宋体" w:hAnsi="宋体" w:cs="宋体"/>
          <w:bCs/>
          <w:sz w:val="24"/>
        </w:rPr>
      </w:pPr>
      <w:r>
        <w:rPr>
          <w:rFonts w:hint="eastAsia" w:ascii="宋体" w:hAnsi="宋体" w:cs="宋体"/>
          <w:bCs/>
          <w:sz w:val="24"/>
        </w:rPr>
        <w:t>（3）供应商未按照询价文件要求提供与基本资格条件、特定资格条件相应的有效资格证明材料的，视为供应商不具备询价文件中规定的资格要求，其询价无效。并将无效原由告知相关供应商。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3.2符合性审查：询价小组依据询价文件的规定，从响应文件的有效性、完整性和对询价文件的响应程度进行审查，以确定是否对询价文件的要求作出实质性响应。出现以下情况的，视为符合性不通过，询价无效。</w:t>
      </w:r>
    </w:p>
    <w:p>
      <w:pPr>
        <w:adjustRightInd w:val="0"/>
        <w:snapToGrid w:val="0"/>
        <w:spacing w:line="360" w:lineRule="auto"/>
        <w:ind w:firstLine="480" w:firstLineChars="200"/>
        <w:rPr>
          <w:rFonts w:ascii="宋体" w:hAnsi="宋体" w:cs="宋体"/>
          <w:bCs/>
          <w:sz w:val="24"/>
        </w:rPr>
      </w:pPr>
      <w:r>
        <w:rPr>
          <w:rFonts w:hint="eastAsia" w:ascii="宋体" w:hAnsi="宋体" w:cs="宋体"/>
          <w:bCs/>
          <w:sz w:val="24"/>
        </w:rPr>
        <w:t>（1）响应文件无法定代表人或其委托授权代表签名或盖章。</w:t>
      </w:r>
    </w:p>
    <w:p>
      <w:pPr>
        <w:adjustRightInd w:val="0"/>
        <w:snapToGrid w:val="0"/>
        <w:spacing w:line="360" w:lineRule="auto"/>
        <w:ind w:firstLine="480" w:firstLineChars="200"/>
        <w:rPr>
          <w:rFonts w:ascii="宋体" w:hAnsi="宋体" w:cs="宋体"/>
          <w:bCs/>
          <w:sz w:val="24"/>
        </w:rPr>
      </w:pPr>
      <w:r>
        <w:rPr>
          <w:rFonts w:hint="eastAsia" w:ascii="宋体" w:hAnsi="宋体" w:cs="宋体"/>
          <w:bCs/>
          <w:sz w:val="24"/>
        </w:rPr>
        <w:t>（2）响应文件内容虚假的。</w:t>
      </w:r>
    </w:p>
    <w:p>
      <w:pPr>
        <w:adjustRightInd w:val="0"/>
        <w:snapToGrid w:val="0"/>
        <w:spacing w:line="360" w:lineRule="auto"/>
        <w:ind w:firstLine="480" w:firstLineChars="200"/>
        <w:rPr>
          <w:rFonts w:ascii="宋体" w:hAnsi="宋体" w:cs="宋体"/>
          <w:bCs/>
          <w:sz w:val="24"/>
        </w:rPr>
      </w:pPr>
      <w:r>
        <w:rPr>
          <w:rFonts w:hint="eastAsia" w:ascii="宋体" w:hAnsi="宋体" w:cs="宋体"/>
          <w:bCs/>
          <w:sz w:val="24"/>
        </w:rPr>
        <w:t>（3）响应文件有采购人不能接受的附加条件的。</w:t>
      </w:r>
    </w:p>
    <w:p>
      <w:pPr>
        <w:adjustRightInd w:val="0"/>
        <w:snapToGrid w:val="0"/>
        <w:spacing w:line="360" w:lineRule="auto"/>
        <w:ind w:firstLine="480" w:firstLineChars="200"/>
        <w:rPr>
          <w:rFonts w:ascii="宋体" w:hAnsi="宋体" w:cs="宋体"/>
          <w:bCs/>
          <w:sz w:val="24"/>
        </w:rPr>
      </w:pPr>
      <w:r>
        <w:rPr>
          <w:rFonts w:hint="eastAsia" w:ascii="宋体" w:hAnsi="宋体" w:cs="宋体"/>
          <w:bCs/>
          <w:sz w:val="24"/>
        </w:rPr>
        <w:t>（4）询价有效期、服务期等商务条款不能满足询价文件要求的。</w:t>
      </w:r>
    </w:p>
    <w:p>
      <w:pPr>
        <w:widowControl/>
        <w:spacing w:line="360" w:lineRule="auto"/>
        <w:ind w:firstLine="480" w:firstLineChars="200"/>
        <w:jc w:val="left"/>
        <w:rPr>
          <w:rFonts w:ascii="宋体" w:hAnsi="宋体" w:cs="宋体"/>
          <w:bCs/>
          <w:sz w:val="24"/>
        </w:rPr>
      </w:pPr>
      <w:r>
        <w:rPr>
          <w:rFonts w:hint="eastAsia" w:ascii="宋体" w:hAnsi="宋体" w:cs="宋体"/>
          <w:bCs/>
          <w:sz w:val="24"/>
        </w:rPr>
        <w:t>（5）价格超出预算或最高限价，导致采购单位无法支付的。</w:t>
      </w:r>
    </w:p>
    <w:p>
      <w:pPr>
        <w:widowControl/>
        <w:spacing w:line="360" w:lineRule="auto"/>
        <w:ind w:firstLine="480" w:firstLineChars="200"/>
        <w:jc w:val="left"/>
        <w:rPr>
          <w:rFonts w:ascii="宋体" w:hAnsi="宋体" w:cs="宋体"/>
          <w:bCs/>
          <w:sz w:val="24"/>
        </w:rPr>
      </w:pPr>
      <w:r>
        <w:rPr>
          <w:rFonts w:hint="eastAsia" w:ascii="宋体" w:hAnsi="宋体" w:cs="宋体"/>
          <w:bCs/>
          <w:sz w:val="24"/>
        </w:rPr>
        <w:t>（6）询价文件明确规定的其他无效条款的。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3.3 询价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52"/>
        <w:tabs>
          <w:tab w:val="left" w:pos="0"/>
        </w:tabs>
        <w:spacing w:before="0"/>
        <w:ind w:firstLine="480"/>
        <w:rPr>
          <w:rFonts w:ascii="宋体" w:hAnsi="宋体" w:cs="宋体"/>
        </w:rPr>
      </w:pPr>
      <w:r>
        <w:rPr>
          <w:rFonts w:hint="eastAsia" w:ascii="宋体" w:hAnsi="宋体" w:cs="宋体"/>
        </w:rPr>
        <w:t>3.4询价小组要求供应商澄清、说明或者更正响应文件应当以书面形式发出。供应商的澄清、说明或者更正应当由法定代表人或其授权代表签字或者加盖公章。由授权代表签字的，应当附法定代表人授权书。</w:t>
      </w:r>
    </w:p>
    <w:p>
      <w:pPr>
        <w:snapToGrid w:val="0"/>
        <w:spacing w:line="360" w:lineRule="auto"/>
        <w:ind w:firstLine="482" w:firstLineChars="200"/>
        <w:rPr>
          <w:rFonts w:ascii="宋体" w:hAnsi="宋体" w:cs="宋体"/>
          <w:b/>
          <w:bCs/>
          <w:sz w:val="24"/>
          <w:lang w:val="zh-CN"/>
        </w:rPr>
      </w:pPr>
      <w:r>
        <w:rPr>
          <w:rFonts w:hint="eastAsia" w:ascii="宋体" w:hAnsi="宋体" w:cs="宋体"/>
          <w:b/>
          <w:bCs/>
          <w:sz w:val="24"/>
        </w:rPr>
        <w:t>4.</w:t>
      </w:r>
      <w:r>
        <w:rPr>
          <w:rFonts w:hint="eastAsia" w:ascii="宋体" w:hAnsi="宋体" w:cs="宋体"/>
          <w:b/>
          <w:bCs/>
          <w:sz w:val="24"/>
          <w:lang w:val="zh-CN"/>
        </w:rPr>
        <w:t>询价</w:t>
      </w:r>
    </w:p>
    <w:p>
      <w:pPr>
        <w:snapToGrid w:val="0"/>
        <w:spacing w:line="360" w:lineRule="auto"/>
        <w:ind w:firstLine="480" w:firstLineChars="200"/>
        <w:rPr>
          <w:rFonts w:ascii="宋体" w:hAnsi="宋体" w:cs="宋体"/>
          <w:sz w:val="24"/>
        </w:rPr>
      </w:pPr>
      <w:r>
        <w:rPr>
          <w:rFonts w:hint="eastAsia" w:ascii="宋体" w:hAnsi="宋体" w:cs="宋体"/>
          <w:sz w:val="24"/>
        </w:rPr>
        <w:t>4.1 初审合格的供应商进入下一步的采购活动。</w:t>
      </w:r>
    </w:p>
    <w:p>
      <w:pPr>
        <w:snapToGrid w:val="0"/>
        <w:spacing w:line="360" w:lineRule="auto"/>
        <w:ind w:firstLine="482" w:firstLineChars="200"/>
        <w:rPr>
          <w:rFonts w:ascii="宋体" w:hAnsi="宋体" w:cs="宋体"/>
          <w:b/>
          <w:bCs/>
          <w:sz w:val="24"/>
          <w:lang w:val="zh-CN"/>
        </w:rPr>
      </w:pPr>
      <w:r>
        <w:rPr>
          <w:rFonts w:hint="eastAsia" w:ascii="宋体" w:hAnsi="宋体" w:cs="宋体"/>
          <w:b/>
          <w:bCs/>
          <w:sz w:val="24"/>
        </w:rPr>
        <w:t>5.</w:t>
      </w:r>
      <w:r>
        <w:rPr>
          <w:rFonts w:hint="eastAsia" w:ascii="宋体" w:hAnsi="宋体" w:cs="宋体"/>
          <w:b/>
          <w:bCs/>
          <w:sz w:val="24"/>
          <w:lang w:val="zh-CN"/>
        </w:rPr>
        <w:t>报价</w:t>
      </w:r>
    </w:p>
    <w:p>
      <w:pPr>
        <w:snapToGrid w:val="0"/>
        <w:spacing w:line="360" w:lineRule="auto"/>
        <w:ind w:firstLine="480" w:firstLineChars="200"/>
        <w:rPr>
          <w:rFonts w:ascii="宋体" w:hAnsi="宋体" w:cs="宋体"/>
          <w:sz w:val="24"/>
        </w:rPr>
      </w:pPr>
      <w:r>
        <w:rPr>
          <w:rFonts w:hint="eastAsia" w:ascii="宋体" w:hAnsi="宋体" w:cs="宋体"/>
          <w:sz w:val="24"/>
        </w:rPr>
        <w:t>5.1询价结束后，供应商开启报价文件；</w:t>
      </w:r>
    </w:p>
    <w:p>
      <w:pPr>
        <w:snapToGrid w:val="0"/>
        <w:spacing w:line="360" w:lineRule="auto"/>
        <w:ind w:firstLine="480" w:firstLineChars="200"/>
        <w:rPr>
          <w:rFonts w:ascii="宋体" w:hAnsi="宋体" w:cs="宋体"/>
          <w:sz w:val="24"/>
        </w:rPr>
      </w:pPr>
      <w:r>
        <w:rPr>
          <w:rFonts w:hint="eastAsia" w:ascii="宋体" w:hAnsi="宋体" w:cs="宋体"/>
          <w:sz w:val="24"/>
        </w:rPr>
        <w:t>5.2报价是供应商响应文件的有效组成部分；</w:t>
      </w:r>
    </w:p>
    <w:p>
      <w:pPr>
        <w:pStyle w:val="15"/>
        <w:spacing w:line="360" w:lineRule="auto"/>
        <w:ind w:firstLine="482" w:firstLineChars="200"/>
        <w:rPr>
          <w:rFonts w:hAnsi="宋体"/>
          <w:b/>
          <w:sz w:val="24"/>
          <w:szCs w:val="24"/>
        </w:rPr>
      </w:pPr>
      <w:r>
        <w:rPr>
          <w:rFonts w:hint="eastAsia" w:hAnsi="宋体"/>
          <w:b/>
          <w:sz w:val="24"/>
          <w:szCs w:val="24"/>
        </w:rPr>
        <w:t>6.修正原则</w:t>
      </w:r>
    </w:p>
    <w:p>
      <w:pPr>
        <w:pStyle w:val="52"/>
        <w:spacing w:before="0"/>
        <w:ind w:firstLine="480"/>
        <w:rPr>
          <w:rFonts w:ascii="宋体" w:hAnsi="宋体" w:cs="宋体"/>
          <w:lang w:val="zh-CN"/>
        </w:rPr>
      </w:pPr>
      <w:r>
        <w:rPr>
          <w:rFonts w:hint="eastAsia" w:ascii="宋体" w:hAnsi="宋体" w:cs="宋体"/>
        </w:rPr>
        <w:t>响应</w:t>
      </w:r>
      <w:r>
        <w:rPr>
          <w:rFonts w:hint="eastAsia" w:ascii="宋体" w:hAnsi="宋体" w:cs="宋体"/>
          <w:lang w:val="zh-CN"/>
        </w:rPr>
        <w:t>文件报价出现前后不一致的，按照下列规定修正：</w:t>
      </w:r>
    </w:p>
    <w:p>
      <w:pPr>
        <w:pStyle w:val="52"/>
        <w:tabs>
          <w:tab w:val="left" w:pos="0"/>
        </w:tabs>
        <w:spacing w:before="0"/>
        <w:ind w:firstLine="480"/>
        <w:rPr>
          <w:rFonts w:ascii="宋体" w:hAnsi="宋体" w:cs="宋体"/>
          <w:lang w:val="zh-CN"/>
        </w:rPr>
      </w:pPr>
      <w:r>
        <w:rPr>
          <w:rFonts w:hint="eastAsia" w:ascii="宋体" w:hAnsi="宋体" w:cs="宋体"/>
        </w:rPr>
        <w:t>6.1响应</w:t>
      </w:r>
      <w:r>
        <w:rPr>
          <w:rFonts w:hint="eastAsia" w:ascii="宋体" w:hAnsi="宋体" w:cs="宋体"/>
          <w:lang w:val="zh-CN"/>
        </w:rPr>
        <w:t>文件中</w:t>
      </w:r>
      <w:r>
        <w:rPr>
          <w:rFonts w:hint="eastAsia" w:ascii="宋体" w:hAnsi="宋体" w:cs="宋体"/>
        </w:rPr>
        <w:t>报价</w:t>
      </w:r>
      <w:r>
        <w:rPr>
          <w:rFonts w:hint="eastAsia" w:ascii="宋体" w:hAnsi="宋体" w:cs="宋体"/>
          <w:lang w:val="zh-CN"/>
        </w:rPr>
        <w:t>一览表内容与</w:t>
      </w:r>
      <w:r>
        <w:rPr>
          <w:rFonts w:hint="eastAsia" w:ascii="宋体" w:hAnsi="宋体" w:cs="宋体"/>
        </w:rPr>
        <w:t>响应</w:t>
      </w:r>
      <w:r>
        <w:rPr>
          <w:rFonts w:hint="eastAsia" w:ascii="宋体" w:hAnsi="宋体" w:cs="宋体"/>
          <w:lang w:val="zh-CN"/>
        </w:rPr>
        <w:t>文件中相应内容不一致的，以</w:t>
      </w:r>
      <w:r>
        <w:rPr>
          <w:rFonts w:hint="eastAsia" w:ascii="宋体" w:hAnsi="宋体" w:cs="宋体"/>
        </w:rPr>
        <w:t>报价</w:t>
      </w:r>
      <w:r>
        <w:rPr>
          <w:rFonts w:hint="eastAsia" w:ascii="宋体" w:hAnsi="宋体" w:cs="宋体"/>
          <w:lang w:val="zh-CN"/>
        </w:rPr>
        <w:t>一览表为准；</w:t>
      </w:r>
    </w:p>
    <w:p>
      <w:pPr>
        <w:pStyle w:val="52"/>
        <w:tabs>
          <w:tab w:val="left" w:pos="0"/>
        </w:tabs>
        <w:spacing w:before="0"/>
        <w:ind w:firstLine="480"/>
        <w:rPr>
          <w:rFonts w:ascii="宋体" w:hAnsi="宋体" w:cs="宋体"/>
          <w:lang w:val="zh-CN"/>
        </w:rPr>
      </w:pPr>
      <w:r>
        <w:rPr>
          <w:rFonts w:hint="eastAsia" w:ascii="宋体" w:hAnsi="宋体" w:cs="宋体"/>
        </w:rPr>
        <w:t>6.2</w:t>
      </w:r>
      <w:r>
        <w:rPr>
          <w:rFonts w:hint="eastAsia" w:ascii="宋体" w:hAnsi="宋体" w:cs="宋体"/>
          <w:lang w:val="zh-CN"/>
        </w:rPr>
        <w:t>大写金额和小写金额不一致的，以大写金额为准；</w:t>
      </w:r>
    </w:p>
    <w:p>
      <w:pPr>
        <w:pStyle w:val="52"/>
        <w:tabs>
          <w:tab w:val="left" w:pos="0"/>
        </w:tabs>
        <w:spacing w:before="0"/>
        <w:ind w:firstLine="480"/>
        <w:rPr>
          <w:rFonts w:ascii="宋体" w:hAnsi="宋体" w:cs="宋体"/>
          <w:lang w:val="zh-CN"/>
        </w:rPr>
      </w:pPr>
      <w:r>
        <w:rPr>
          <w:rFonts w:hint="eastAsia" w:ascii="宋体" w:hAnsi="宋体" w:cs="宋体"/>
        </w:rPr>
        <w:t>6.3</w:t>
      </w:r>
      <w:r>
        <w:rPr>
          <w:rFonts w:hint="eastAsia" w:ascii="宋体" w:hAnsi="宋体" w:cs="宋体"/>
          <w:lang w:val="zh-CN"/>
        </w:rPr>
        <w:t>单价金额小数点或者百分比有明显错位的，以</w:t>
      </w:r>
      <w:r>
        <w:rPr>
          <w:rFonts w:hint="eastAsia" w:ascii="宋体" w:hAnsi="宋体" w:cs="宋体"/>
        </w:rPr>
        <w:t>报价</w:t>
      </w:r>
      <w:r>
        <w:rPr>
          <w:rFonts w:hint="eastAsia" w:ascii="宋体" w:hAnsi="宋体" w:cs="宋体"/>
          <w:lang w:val="zh-CN"/>
        </w:rPr>
        <w:t>一览表的总价为准，并修改单价；</w:t>
      </w:r>
    </w:p>
    <w:p>
      <w:pPr>
        <w:pStyle w:val="52"/>
        <w:tabs>
          <w:tab w:val="left" w:pos="0"/>
        </w:tabs>
        <w:spacing w:before="0"/>
        <w:ind w:firstLine="480"/>
        <w:rPr>
          <w:rFonts w:ascii="宋体" w:hAnsi="宋体" w:cs="宋体"/>
          <w:lang w:val="zh-CN"/>
        </w:rPr>
      </w:pPr>
      <w:r>
        <w:rPr>
          <w:rFonts w:hint="eastAsia" w:ascii="宋体" w:hAnsi="宋体" w:cs="宋体"/>
        </w:rPr>
        <w:t>6.4</w:t>
      </w:r>
      <w:r>
        <w:rPr>
          <w:rFonts w:hint="eastAsia" w:ascii="宋体" w:hAnsi="宋体" w:cs="宋体"/>
          <w:lang w:val="zh-CN"/>
        </w:rPr>
        <w:t>总价金额与按单价汇总金额不一致的，以单价金额计算结果为准。</w:t>
      </w:r>
    </w:p>
    <w:p>
      <w:pPr>
        <w:pStyle w:val="52"/>
        <w:spacing w:before="0"/>
        <w:ind w:firstLine="480"/>
        <w:rPr>
          <w:rFonts w:ascii="宋体" w:hAnsi="宋体" w:cs="宋体"/>
          <w:lang w:val="zh-CN"/>
        </w:rPr>
      </w:pPr>
      <w:r>
        <w:rPr>
          <w:rFonts w:hint="eastAsia" w:ascii="宋体" w:hAnsi="宋体" w:cs="宋体"/>
          <w:lang w:val="zh-CN"/>
        </w:rPr>
        <w:t>同时出现两种以上不一致的，按照前款规定的顺序修正。修正后的报价按照财政部公布第87号令 《政府采购</w:t>
      </w:r>
      <w:r>
        <w:rPr>
          <w:rFonts w:hint="eastAsia" w:ascii="宋体" w:hAnsi="宋体" w:cs="宋体"/>
          <w:lang w:val="en-US" w:eastAsia="zh-CN"/>
        </w:rPr>
        <w:t>货物</w:t>
      </w:r>
      <w:r>
        <w:rPr>
          <w:rFonts w:hint="eastAsia" w:ascii="宋体" w:hAnsi="宋体" w:cs="宋体"/>
          <w:lang w:val="zh-CN"/>
        </w:rPr>
        <w:t>和服务招标投标管理办法》第五十一条第二款的规定经</w:t>
      </w:r>
      <w:r>
        <w:rPr>
          <w:rFonts w:hint="eastAsia" w:ascii="宋体" w:hAnsi="宋体" w:cs="宋体"/>
        </w:rPr>
        <w:t>供应商</w:t>
      </w:r>
      <w:r>
        <w:rPr>
          <w:rFonts w:hint="eastAsia" w:ascii="宋体" w:hAnsi="宋体" w:cs="宋体"/>
          <w:lang w:val="zh-CN"/>
        </w:rPr>
        <w:t>确认后产生约束力，</w:t>
      </w:r>
      <w:r>
        <w:rPr>
          <w:rFonts w:hint="eastAsia" w:ascii="宋体" w:hAnsi="宋体" w:cs="宋体"/>
        </w:rPr>
        <w:t>供应商</w:t>
      </w:r>
      <w:r>
        <w:rPr>
          <w:rFonts w:hint="eastAsia" w:ascii="宋体" w:hAnsi="宋体" w:cs="宋体"/>
          <w:lang w:val="zh-CN"/>
        </w:rPr>
        <w:t>不确认的，其询价无效。</w:t>
      </w:r>
    </w:p>
    <w:p>
      <w:pPr>
        <w:pStyle w:val="15"/>
        <w:spacing w:line="360" w:lineRule="auto"/>
        <w:ind w:firstLine="482" w:firstLineChars="200"/>
        <w:rPr>
          <w:rFonts w:hAnsi="宋体"/>
          <w:b/>
          <w:sz w:val="24"/>
          <w:szCs w:val="24"/>
        </w:rPr>
      </w:pPr>
      <w:r>
        <w:rPr>
          <w:rFonts w:hint="eastAsia" w:hAnsi="宋体"/>
          <w:b/>
          <w:sz w:val="24"/>
          <w:szCs w:val="24"/>
        </w:rPr>
        <w:t>7.响应文件的澄清</w:t>
      </w:r>
    </w:p>
    <w:p>
      <w:pPr>
        <w:pStyle w:val="52"/>
        <w:tabs>
          <w:tab w:val="left" w:pos="0"/>
        </w:tabs>
        <w:spacing w:before="0"/>
        <w:ind w:firstLine="480"/>
        <w:rPr>
          <w:rFonts w:ascii="宋体" w:hAnsi="宋体" w:cs="宋体"/>
          <w:lang w:val="zh-CN"/>
        </w:rPr>
      </w:pPr>
      <w:r>
        <w:rPr>
          <w:rFonts w:hint="eastAsia" w:ascii="宋体" w:hAnsi="宋体" w:cs="宋体"/>
        </w:rPr>
        <w:t>7.1</w:t>
      </w:r>
      <w:r>
        <w:rPr>
          <w:rFonts w:hint="eastAsia" w:ascii="宋体" w:hAnsi="宋体" w:cs="宋体"/>
          <w:lang w:val="zh-CN"/>
        </w:rPr>
        <w:t>评审中因</w:t>
      </w:r>
      <w:r>
        <w:rPr>
          <w:rFonts w:hint="eastAsia" w:ascii="宋体" w:hAnsi="宋体" w:cs="宋体"/>
        </w:rPr>
        <w:t>响应</w:t>
      </w:r>
      <w:r>
        <w:rPr>
          <w:rFonts w:hint="eastAsia" w:ascii="宋体" w:hAnsi="宋体" w:cs="宋体"/>
          <w:lang w:val="zh-CN"/>
        </w:rPr>
        <w:t>文件含义不明、表述不一致或有明显计算错误等内容需要供应商作出澄清、说明或者补正的，询价</w:t>
      </w:r>
      <w:r>
        <w:rPr>
          <w:rFonts w:hint="eastAsia" w:ascii="宋体" w:hAnsi="宋体" w:cs="宋体"/>
        </w:rPr>
        <w:t>小组</w:t>
      </w:r>
      <w:r>
        <w:rPr>
          <w:rFonts w:hint="eastAsia" w:ascii="宋体" w:hAnsi="宋体" w:cs="宋体"/>
          <w:lang w:val="zh-CN"/>
        </w:rPr>
        <w:t>和供应商应当通过政采云平台交换数据电文，给予供应商提交澄清说明或补正的时间不少于半小时，供应商已经明确表示澄清说明或补正完毕的除外。</w:t>
      </w:r>
    </w:p>
    <w:p>
      <w:pPr>
        <w:spacing w:line="336" w:lineRule="auto"/>
        <w:ind w:firstLine="480" w:firstLineChars="200"/>
        <w:rPr>
          <w:rFonts w:asciiTheme="minorEastAsia" w:hAnsiTheme="minorEastAsia" w:eastAsiaTheme="minorEastAsia"/>
          <w:sz w:val="24"/>
          <w:szCs w:val="24"/>
        </w:rPr>
      </w:pPr>
      <w:r>
        <w:rPr>
          <w:rFonts w:hint="eastAsia" w:ascii="宋体" w:hAnsi="宋体" w:cs="宋体"/>
          <w:sz w:val="24"/>
          <w:lang w:val="zh-CN"/>
        </w:rPr>
        <w:t>供应商通过政采云平台交换的数据电文必须进行电子签章。</w:t>
      </w:r>
    </w:p>
    <w:p>
      <w:pPr>
        <w:pStyle w:val="2"/>
        <w:numPr>
          <w:ilvl w:val="0"/>
          <w:numId w:val="16"/>
        </w:numPr>
        <w:jc w:val="center"/>
        <w:rPr>
          <w:rFonts w:cs="Times New Roman" w:asciiTheme="minorEastAsia" w:hAnsiTheme="minorEastAsia" w:eastAsiaTheme="minorEastAsia"/>
        </w:rPr>
      </w:pPr>
      <w:bookmarkStart w:id="91" w:name="_Toc110244167"/>
      <w:bookmarkStart w:id="92" w:name="_Toc12816"/>
      <w:r>
        <w:rPr>
          <w:rFonts w:hint="eastAsia" w:asciiTheme="minorEastAsia" w:hAnsiTheme="minorEastAsia" w:eastAsiaTheme="minorEastAsia"/>
        </w:rPr>
        <w:t>注意事项</w:t>
      </w:r>
      <w:bookmarkEnd w:id="91"/>
      <w:bookmarkEnd w:id="92"/>
    </w:p>
    <w:p>
      <w:pPr>
        <w:pStyle w:val="3"/>
        <w:spacing w:line="336" w:lineRule="auto"/>
        <w:rPr>
          <w:rFonts w:asciiTheme="minorEastAsia" w:hAnsiTheme="minorEastAsia" w:eastAsiaTheme="minorEastAsia"/>
          <w:b/>
          <w:bCs/>
          <w:sz w:val="24"/>
          <w:szCs w:val="24"/>
        </w:rPr>
      </w:pPr>
      <w:r>
        <w:rPr>
          <w:rFonts w:hint="eastAsia" w:cs="宋体" w:asciiTheme="minorEastAsia" w:hAnsiTheme="minorEastAsia" w:eastAsiaTheme="minorEastAsia"/>
          <w:b/>
          <w:bCs/>
          <w:sz w:val="24"/>
          <w:szCs w:val="24"/>
        </w:rPr>
        <w:t>评审时如发现供应商的报价明显低于其他通过符合性审查供应商的报价，有可能影响产品质量或者不能诚信履约的，询价小组可要求该供应商书面说明并提供相关证明材料。该供应商不能合理说明原因并提供证明材料的，评审小组应将该供应商的询价响应文件作无效处理，同时采购组织机构应将该情况报同级财政部门，并视情将其列入不良供应商名单。</w:t>
      </w:r>
    </w:p>
    <w:p>
      <w:pPr>
        <w:pStyle w:val="2"/>
        <w:numPr>
          <w:ilvl w:val="0"/>
          <w:numId w:val="17"/>
        </w:numPr>
        <w:jc w:val="center"/>
        <w:rPr>
          <w:rFonts w:cs="Times New Roman" w:asciiTheme="minorEastAsia" w:hAnsiTheme="minorEastAsia" w:eastAsiaTheme="minorEastAsia"/>
        </w:rPr>
      </w:pPr>
      <w:bookmarkStart w:id="93" w:name="_Toc110244168"/>
      <w:bookmarkStart w:id="94" w:name="_Toc13782"/>
      <w:r>
        <w:rPr>
          <w:rFonts w:hint="eastAsia" w:asciiTheme="minorEastAsia" w:hAnsiTheme="minorEastAsia" w:eastAsiaTheme="minorEastAsia"/>
        </w:rPr>
        <w:t>询价细则</w:t>
      </w:r>
      <w:bookmarkEnd w:id="93"/>
      <w:bookmarkEnd w:id="94"/>
    </w:p>
    <w:p>
      <w:pPr>
        <w:spacing w:line="440" w:lineRule="exact"/>
        <w:ind w:firstLine="480" w:firstLineChars="200"/>
        <w:jc w:val="left"/>
        <w:rPr>
          <w:rFonts w:ascii="宋体" w:hAnsi="宋体" w:cs="宋体"/>
          <w:sz w:val="24"/>
        </w:rPr>
      </w:pPr>
      <w:r>
        <w:rPr>
          <w:rFonts w:hint="eastAsia" w:ascii="宋体" w:hAnsi="宋体" w:cs="宋体"/>
          <w:sz w:val="24"/>
        </w:rPr>
        <w:t>1.本次采购项目最高限价规定如下：</w:t>
      </w:r>
    </w:p>
    <w:p>
      <w:pPr>
        <w:spacing w:line="440" w:lineRule="exact"/>
        <w:ind w:firstLine="482" w:firstLineChars="200"/>
        <w:jc w:val="left"/>
        <w:rPr>
          <w:rFonts w:ascii="宋体" w:hAnsi="宋体" w:cs="宋体"/>
          <w:b/>
          <w:bCs/>
          <w:sz w:val="24"/>
        </w:rPr>
      </w:pPr>
      <w:r>
        <w:rPr>
          <w:rFonts w:hint="eastAsia" w:ascii="宋体" w:hAnsi="宋体" w:cs="宋体"/>
          <w:b/>
          <w:bCs/>
          <w:sz w:val="24"/>
        </w:rPr>
        <w:t>本项目询价报价的最高限价为人民币</w:t>
      </w:r>
      <w:r>
        <w:rPr>
          <w:rFonts w:hint="eastAsia" w:ascii="宋体" w:hAnsi="宋体" w:cs="宋体"/>
          <w:b/>
          <w:bCs/>
          <w:color w:val="auto"/>
          <w:sz w:val="24"/>
          <w:u w:val="single"/>
          <w:lang w:val="en-US" w:eastAsia="zh-CN"/>
        </w:rPr>
        <w:t xml:space="preserve"> </w:t>
      </w:r>
      <w:r>
        <w:rPr>
          <w:rFonts w:hint="eastAsia" w:ascii="宋体" w:hAnsi="宋体" w:cs="宋体"/>
          <w:b/>
          <w:bCs/>
          <w:color w:val="auto"/>
          <w:sz w:val="24"/>
          <w:u w:val="single"/>
          <w:lang w:eastAsia="zh-CN"/>
        </w:rPr>
        <w:t>陆拾伍万</w:t>
      </w:r>
      <w:r>
        <w:rPr>
          <w:rFonts w:hint="eastAsia" w:ascii="宋体" w:hAnsi="宋体" w:cs="宋体"/>
          <w:b/>
          <w:bCs/>
          <w:color w:val="auto"/>
          <w:sz w:val="24"/>
          <w:u w:val="single"/>
        </w:rPr>
        <w:t xml:space="preserve">元整 </w:t>
      </w:r>
      <w:r>
        <w:rPr>
          <w:rFonts w:hint="eastAsia" w:ascii="宋体" w:hAnsi="宋体" w:cs="宋体"/>
          <w:b/>
          <w:bCs/>
          <w:color w:val="auto"/>
          <w:sz w:val="24"/>
        </w:rPr>
        <w:t>（小写</w:t>
      </w:r>
      <w:r>
        <w:rPr>
          <w:rFonts w:hint="eastAsia" w:ascii="宋体" w:hAnsi="宋体" w:cs="宋体"/>
          <w:b/>
          <w:bCs/>
          <w:color w:val="auto"/>
          <w:sz w:val="24"/>
          <w:u w:val="single"/>
          <w:lang w:eastAsia="zh-CN"/>
        </w:rPr>
        <w:t>650000</w:t>
      </w:r>
      <w:r>
        <w:rPr>
          <w:rFonts w:hint="eastAsia" w:ascii="宋体" w:hAnsi="宋体" w:cs="宋体"/>
          <w:b/>
          <w:bCs/>
          <w:color w:val="auto"/>
          <w:sz w:val="24"/>
          <w:u w:val="single"/>
        </w:rPr>
        <w:t xml:space="preserve">.00 </w:t>
      </w:r>
      <w:r>
        <w:rPr>
          <w:rFonts w:hint="eastAsia" w:ascii="宋体" w:hAnsi="宋体" w:cs="宋体"/>
          <w:b/>
          <w:bCs/>
          <w:color w:val="auto"/>
          <w:sz w:val="24"/>
        </w:rPr>
        <w:t>元）。</w:t>
      </w:r>
      <w:r>
        <w:rPr>
          <w:rFonts w:hint="eastAsia" w:ascii="宋体" w:hAnsi="宋体" w:cs="宋体"/>
          <w:b/>
          <w:bCs/>
          <w:sz w:val="24"/>
          <w:szCs w:val="24"/>
        </w:rPr>
        <w:t>最高限价由采购人根据市场价格的调查设定，并且不高于本项目预算。</w:t>
      </w:r>
    </w:p>
    <w:p>
      <w:pPr>
        <w:spacing w:line="440" w:lineRule="exact"/>
        <w:ind w:firstLine="480" w:firstLineChars="200"/>
        <w:jc w:val="left"/>
        <w:rPr>
          <w:rFonts w:ascii="宋体" w:hAnsi="宋体" w:cs="宋体"/>
          <w:sz w:val="24"/>
        </w:rPr>
      </w:pPr>
      <w:r>
        <w:rPr>
          <w:rFonts w:hint="eastAsia" w:ascii="宋体" w:hAnsi="宋体" w:cs="宋体"/>
          <w:sz w:val="24"/>
        </w:rPr>
        <w:t>2.供应商的报价在最高限价内的，为有效报价；供应商的报价在最高限价外的，为无效报价。</w:t>
      </w:r>
    </w:p>
    <w:p>
      <w:pPr>
        <w:spacing w:line="360" w:lineRule="auto"/>
        <w:ind w:firstLine="480" w:firstLineChars="200"/>
        <w:rPr>
          <w:rFonts w:ascii="宋体" w:hAnsi="宋体"/>
          <w:sz w:val="24"/>
          <w:szCs w:val="21"/>
        </w:rPr>
      </w:pPr>
      <w:r>
        <w:rPr>
          <w:rFonts w:hint="eastAsia" w:ascii="宋体" w:hAnsi="宋体" w:cs="宋体"/>
          <w:sz w:val="24"/>
          <w:szCs w:val="32"/>
        </w:rPr>
        <w:t>3.</w:t>
      </w:r>
      <w:r>
        <w:rPr>
          <w:rFonts w:hint="eastAsia" w:ascii="宋体" w:hAnsi="宋体"/>
          <w:sz w:val="24"/>
          <w:szCs w:val="21"/>
        </w:rPr>
        <w:t>响应文件只允许有一个报价，报价应按询价文件中相关附表格式填报，该报价应与明细报价汇总相等，且不允许出现报价优惠、赠送等字样（明细出现“0”元，视同赠送）,如出现则做</w:t>
      </w:r>
      <w:r>
        <w:rPr>
          <w:rFonts w:hint="eastAsia" w:ascii="宋体" w:hAnsi="宋体"/>
          <w:b/>
          <w:bCs/>
          <w:sz w:val="24"/>
          <w:szCs w:val="21"/>
        </w:rPr>
        <w:t>无效响应</w:t>
      </w:r>
      <w:r>
        <w:rPr>
          <w:rFonts w:hint="eastAsia" w:ascii="宋体" w:hAnsi="宋体"/>
          <w:sz w:val="24"/>
          <w:szCs w:val="21"/>
        </w:rPr>
        <w:t>处理。</w:t>
      </w:r>
    </w:p>
    <w:p>
      <w:pPr>
        <w:spacing w:line="360" w:lineRule="auto"/>
        <w:ind w:firstLine="480" w:firstLineChars="200"/>
        <w:rPr>
          <w:rFonts w:ascii="宋体" w:hAnsi="宋体"/>
          <w:sz w:val="24"/>
          <w:szCs w:val="21"/>
        </w:rPr>
      </w:pPr>
      <w:r>
        <w:rPr>
          <w:rFonts w:hint="eastAsia" w:ascii="宋体" w:hAnsi="宋体"/>
          <w:sz w:val="24"/>
          <w:szCs w:val="21"/>
        </w:rPr>
        <w:t>4.</w:t>
      </w:r>
      <w:r>
        <w:rPr>
          <w:rFonts w:hint="eastAsia"/>
        </w:rPr>
        <w:t xml:space="preserve"> </w:t>
      </w:r>
      <w:r>
        <w:rPr>
          <w:rFonts w:hint="eastAsia" w:ascii="宋体" w:hAnsi="宋体"/>
          <w:sz w:val="24"/>
          <w:szCs w:val="21"/>
        </w:rPr>
        <w:t>评审办法：询价小组应当从质量和服务均能满足采购文件实质性响应要求的供应商中，按照最后报价由低到高的顺序提出</w:t>
      </w:r>
      <w:r>
        <w:rPr>
          <w:rFonts w:hint="eastAsia" w:ascii="宋体" w:hAnsi="宋体"/>
          <w:sz w:val="24"/>
          <w:szCs w:val="21"/>
          <w:highlight w:val="none"/>
        </w:rPr>
        <w:t>1</w:t>
      </w:r>
      <w:r>
        <w:rPr>
          <w:rFonts w:hint="eastAsia" w:ascii="宋体" w:hAnsi="宋体"/>
          <w:sz w:val="24"/>
          <w:szCs w:val="21"/>
        </w:rPr>
        <w:t>名成交候选人，并编写评审报告。</w:t>
      </w:r>
    </w:p>
    <w:p>
      <w:pPr>
        <w:spacing w:line="360" w:lineRule="auto"/>
        <w:ind w:firstLine="480" w:firstLineChars="200"/>
        <w:rPr>
          <w:rFonts w:ascii="宋体" w:hAnsi="宋体" w:cs="宋体"/>
          <w:sz w:val="24"/>
          <w:szCs w:val="32"/>
        </w:rPr>
      </w:pPr>
      <w:r>
        <w:rPr>
          <w:rFonts w:hint="eastAsia" w:ascii="宋体" w:hAnsi="宋体"/>
          <w:sz w:val="24"/>
          <w:szCs w:val="21"/>
        </w:rPr>
        <w:t>采购人根据询价小组提交的书面评审报告在符合采购需求、质量和服务相等前提下，将最后报价最低的供应商定为成交供应商；如果报价相同，则由采购单位现场抽取确定成交供应商。</w:t>
      </w:r>
    </w:p>
    <w:p>
      <w:pPr>
        <w:spacing w:line="336" w:lineRule="auto"/>
        <w:ind w:firstLine="482" w:firstLineChars="200"/>
        <w:rPr>
          <w:rFonts w:ascii="宋体" w:hAnsi="宋体" w:cs="宋体"/>
          <w:b/>
          <w:bCs/>
          <w:sz w:val="24"/>
          <w:szCs w:val="32"/>
        </w:rPr>
      </w:pPr>
      <w:r>
        <w:rPr>
          <w:rFonts w:hint="eastAsia" w:ascii="宋体" w:hAnsi="宋体"/>
          <w:b/>
          <w:bCs/>
          <w:sz w:val="24"/>
          <w:szCs w:val="21"/>
        </w:rPr>
        <w:t>5.</w:t>
      </w:r>
      <w:r>
        <w:rPr>
          <w:rFonts w:hint="eastAsia" w:ascii="宋体" w:hAnsi="宋体" w:cs="宋体"/>
          <w:b/>
          <w:bCs/>
          <w:sz w:val="24"/>
          <w:szCs w:val="32"/>
        </w:rPr>
        <w:t>电子评标程序</w:t>
      </w:r>
    </w:p>
    <w:p>
      <w:pPr>
        <w:spacing w:line="336" w:lineRule="auto"/>
        <w:ind w:firstLine="480" w:firstLineChars="200"/>
        <w:rPr>
          <w:rFonts w:ascii="宋体" w:hAnsi="宋体" w:cs="宋体"/>
          <w:sz w:val="24"/>
          <w:szCs w:val="32"/>
        </w:rPr>
      </w:pPr>
      <w:r>
        <w:rPr>
          <w:rFonts w:hint="eastAsia" w:ascii="宋体" w:hAnsi="宋体" w:cs="宋体"/>
          <w:sz w:val="24"/>
          <w:szCs w:val="32"/>
        </w:rPr>
        <w:t>5.1询价活动由采购代理机构主持,询价响应截止时间后,供应商登录政采云平台对电子响应文件进行在线解密；</w:t>
      </w:r>
    </w:p>
    <w:p>
      <w:pPr>
        <w:spacing w:line="336" w:lineRule="auto"/>
        <w:ind w:firstLine="480" w:firstLineChars="200"/>
        <w:rPr>
          <w:rFonts w:ascii="宋体" w:hAnsi="宋体" w:cs="宋体"/>
          <w:sz w:val="24"/>
          <w:szCs w:val="32"/>
        </w:rPr>
      </w:pPr>
      <w:r>
        <w:rPr>
          <w:rFonts w:hint="eastAsia" w:ascii="宋体" w:hAnsi="宋体" w:cs="宋体"/>
          <w:sz w:val="24"/>
          <w:szCs w:val="32"/>
        </w:rPr>
        <w:t>5.2响应文件解密结束,开启响应文件,询价小组对资格和商务技术响应文件进行资格审查和符合性审查；</w:t>
      </w:r>
    </w:p>
    <w:p>
      <w:pPr>
        <w:pStyle w:val="3"/>
        <w:spacing w:line="336" w:lineRule="auto"/>
        <w:ind w:firstLine="480" w:firstLineChars="200"/>
        <w:rPr>
          <w:rFonts w:ascii="宋体" w:hAnsi="宋体" w:cs="宋体"/>
          <w:sz w:val="24"/>
          <w:szCs w:val="32"/>
        </w:rPr>
      </w:pPr>
      <w:r>
        <w:rPr>
          <w:rFonts w:hint="eastAsia" w:ascii="宋体" w:hAnsi="宋体" w:cs="宋体"/>
          <w:sz w:val="24"/>
          <w:szCs w:val="24"/>
        </w:rPr>
        <w:t>5.3询价结束后，供应商开启报价文件；</w:t>
      </w:r>
    </w:p>
    <w:p>
      <w:pPr>
        <w:pStyle w:val="3"/>
        <w:spacing w:line="336" w:lineRule="auto"/>
        <w:ind w:firstLine="480" w:firstLineChars="200"/>
        <w:rPr>
          <w:rFonts w:ascii="宋体" w:hAnsi="宋体" w:cs="宋体"/>
          <w:sz w:val="24"/>
          <w:szCs w:val="32"/>
        </w:rPr>
      </w:pPr>
      <w:r>
        <w:rPr>
          <w:rFonts w:hint="eastAsia" w:ascii="宋体" w:hAnsi="宋体" w:cs="宋体"/>
          <w:sz w:val="24"/>
          <w:szCs w:val="32"/>
        </w:rPr>
        <w:t>5.4 评审价格最低者为中标候选人；</w:t>
      </w:r>
    </w:p>
    <w:p>
      <w:pPr>
        <w:pStyle w:val="3"/>
        <w:spacing w:line="336" w:lineRule="auto"/>
        <w:ind w:firstLine="480" w:firstLineChars="200"/>
        <w:rPr>
          <w:rFonts w:ascii="宋体" w:hAnsi="宋体" w:cs="宋体"/>
          <w:sz w:val="24"/>
          <w:szCs w:val="32"/>
        </w:rPr>
      </w:pPr>
      <w:r>
        <w:rPr>
          <w:rFonts w:hint="eastAsia" w:ascii="宋体" w:hAnsi="宋体" w:cs="宋体"/>
          <w:sz w:val="24"/>
          <w:szCs w:val="32"/>
        </w:rPr>
        <w:t>5.5询价小组对报价情况进行评审；</w:t>
      </w:r>
    </w:p>
    <w:p>
      <w:pPr>
        <w:pStyle w:val="3"/>
        <w:spacing w:line="336" w:lineRule="auto"/>
        <w:ind w:firstLine="480" w:firstLineChars="200"/>
        <w:rPr>
          <w:rFonts w:ascii="宋体" w:hAnsi="宋体" w:cs="宋体"/>
          <w:sz w:val="24"/>
          <w:szCs w:val="32"/>
        </w:rPr>
      </w:pPr>
      <w:r>
        <w:rPr>
          <w:rFonts w:hint="eastAsia" w:ascii="宋体" w:hAnsi="宋体" w:cs="宋体"/>
          <w:sz w:val="24"/>
          <w:szCs w:val="32"/>
        </w:rPr>
        <w:t>5.6在系统上公开评审结果；</w:t>
      </w:r>
    </w:p>
    <w:p>
      <w:pPr>
        <w:spacing w:line="360" w:lineRule="auto"/>
        <w:ind w:firstLine="480" w:firstLineChars="200"/>
        <w:rPr>
          <w:rFonts w:cs="宋体" w:asciiTheme="minorEastAsia" w:hAnsiTheme="minorEastAsia" w:eastAsiaTheme="minorEastAsia"/>
          <w:sz w:val="36"/>
          <w:szCs w:val="36"/>
        </w:rPr>
      </w:pPr>
      <w:r>
        <w:rPr>
          <w:rFonts w:hint="eastAsia" w:ascii="宋体" w:hAnsi="宋体" w:cs="宋体"/>
          <w:sz w:val="24"/>
          <w:szCs w:val="32"/>
        </w:rPr>
        <w:t>5.7开标会结束。</w:t>
      </w:r>
      <w:bookmarkStart w:id="95" w:name="_Toc8033"/>
      <w:bookmarkStart w:id="96" w:name="_Toc4517"/>
    </w:p>
    <w:bookmarkEnd w:id="95"/>
    <w:bookmarkEnd w:id="96"/>
    <w:p>
      <w:pPr>
        <w:pStyle w:val="5"/>
        <w:jc w:val="both"/>
        <w:rPr>
          <w:rFonts w:ascii="宋体" w:hAnsi="宋体"/>
          <w:sz w:val="24"/>
        </w:rPr>
      </w:pPr>
      <w:bookmarkStart w:id="97" w:name="_Toc11880"/>
      <w:r>
        <w:rPr>
          <w:rFonts w:hint="eastAsia" w:ascii="黑体" w:hAnsi="宋体" w:eastAsia="黑体"/>
          <w:sz w:val="24"/>
        </w:rPr>
        <w:br w:type="page"/>
      </w:r>
      <w:bookmarkEnd w:id="97"/>
    </w:p>
    <w:p>
      <w:pPr>
        <w:spacing w:line="400" w:lineRule="exact"/>
        <w:jc w:val="center"/>
        <w:rPr>
          <w:rFonts w:hint="eastAsia" w:ascii="宋体" w:hAnsi="宋体" w:cs="宋体"/>
          <w:b/>
          <w:sz w:val="24"/>
        </w:rPr>
      </w:pPr>
      <w:bookmarkStart w:id="98" w:name="_Toc110244169"/>
      <w:r>
        <w:rPr>
          <w:rFonts w:hint="eastAsia" w:cs="宋体" w:asciiTheme="minorEastAsia" w:hAnsiTheme="minorEastAsia" w:eastAsiaTheme="minorEastAsia"/>
          <w:sz w:val="36"/>
          <w:szCs w:val="36"/>
        </w:rPr>
        <w:t>第五部分采购合同</w:t>
      </w:r>
      <w:bookmarkEnd w:id="98"/>
    </w:p>
    <w:p>
      <w:pPr>
        <w:spacing w:line="400" w:lineRule="exact"/>
        <w:rPr>
          <w:rFonts w:hint="eastAsia" w:ascii="宋体" w:hAnsi="宋体" w:cs="宋体"/>
          <w:b/>
          <w:sz w:val="24"/>
          <w:lang w:val="en-US" w:eastAsia="zh-CN"/>
        </w:rPr>
      </w:pPr>
    </w:p>
    <w:p>
      <w:pPr>
        <w:spacing w:line="400" w:lineRule="exact"/>
        <w:rPr>
          <w:rFonts w:hint="eastAsia" w:ascii="宋体" w:hAnsi="宋体" w:cs="宋体"/>
          <w:b/>
          <w:sz w:val="24"/>
        </w:rPr>
      </w:pPr>
      <w:r>
        <w:rPr>
          <w:rFonts w:hint="eastAsia" w:ascii="宋体" w:hAnsi="宋体" w:cs="宋体"/>
          <w:b/>
          <w:sz w:val="24"/>
          <w:lang w:val="en-US" w:eastAsia="zh-CN"/>
        </w:rPr>
        <w:t>采购方</w:t>
      </w:r>
      <w:r>
        <w:rPr>
          <w:rFonts w:hint="eastAsia" w:ascii="宋体" w:hAnsi="宋体" w:cs="宋体"/>
          <w:b/>
          <w:sz w:val="24"/>
        </w:rPr>
        <w:t>：</w:t>
      </w:r>
      <w:r>
        <w:rPr>
          <w:rFonts w:hint="eastAsia" w:ascii="宋体" w:hAnsi="宋体" w:cs="宋体"/>
          <w:b/>
          <w:sz w:val="24"/>
          <w:lang w:eastAsia="zh-CN"/>
        </w:rPr>
        <w:t>绍兴市上虞</w:t>
      </w:r>
      <w:r>
        <w:rPr>
          <w:rFonts w:hint="eastAsia" w:ascii="宋体" w:hAnsi="宋体" w:cs="宋体"/>
          <w:b/>
          <w:sz w:val="24"/>
          <w:lang w:val="en-US" w:eastAsia="zh-CN"/>
        </w:rPr>
        <w:t>城市建设集团有限公司</w:t>
      </w:r>
    </w:p>
    <w:p>
      <w:pPr>
        <w:spacing w:line="400" w:lineRule="exact"/>
        <w:rPr>
          <w:rFonts w:hint="default" w:ascii="宋体" w:hAnsi="宋体" w:eastAsia="宋体" w:cs="宋体"/>
          <w:b/>
          <w:sz w:val="24"/>
          <w:u w:val="single"/>
          <w:lang w:val="en-US" w:eastAsia="zh-CN"/>
        </w:rPr>
      </w:pPr>
      <w:r>
        <w:rPr>
          <w:rFonts w:hint="eastAsia" w:ascii="宋体" w:hAnsi="宋体" w:cs="宋体"/>
          <w:b/>
          <w:sz w:val="24"/>
          <w:lang w:val="en-US" w:eastAsia="zh-CN"/>
        </w:rPr>
        <w:t>供应商</w:t>
      </w:r>
      <w:r>
        <w:rPr>
          <w:rFonts w:hint="eastAsia" w:ascii="宋体" w:hAnsi="宋体" w:cs="宋体"/>
          <w:b/>
          <w:sz w:val="24"/>
        </w:rPr>
        <w:t>：</w:t>
      </w:r>
      <w:r>
        <w:rPr>
          <w:rFonts w:hint="eastAsia" w:ascii="宋体" w:hAnsi="宋体" w:cs="宋体"/>
          <w:b/>
          <w:sz w:val="24"/>
          <w:u w:val="single"/>
        </w:rPr>
        <w:t xml:space="preserve"> </w:t>
      </w:r>
      <w:r>
        <w:rPr>
          <w:rFonts w:hint="eastAsia" w:ascii="宋体" w:hAnsi="宋体" w:cs="宋体"/>
          <w:b/>
          <w:sz w:val="24"/>
          <w:u w:val="single"/>
          <w:lang w:val="en-US" w:eastAsia="zh-CN"/>
        </w:rPr>
        <w:t xml:space="preserve">                             </w:t>
      </w:r>
    </w:p>
    <w:p>
      <w:pPr>
        <w:spacing w:line="400" w:lineRule="exact"/>
        <w:ind w:left="1" w:right="-224" w:rightChars="-112" w:firstLine="480" w:firstLineChars="200"/>
        <w:rPr>
          <w:rFonts w:ascii="宋体" w:hAnsi="宋体" w:cs="宋体"/>
          <w:sz w:val="24"/>
        </w:rPr>
      </w:pPr>
      <w:r>
        <w:rPr>
          <w:rFonts w:hint="eastAsia" w:ascii="宋体" w:hAnsi="宋体" w:cs="宋体"/>
          <w:sz w:val="24"/>
        </w:rPr>
        <w:t>根据《中华人民共和国民法典》及相关法律法规的规定，双方在平等自愿的基础上，就</w:t>
      </w:r>
      <w:r>
        <w:rPr>
          <w:rFonts w:hint="eastAsia" w:ascii="宋体" w:hAnsi="宋体" w:cs="宋体"/>
          <w:sz w:val="24"/>
          <w:u w:val="single"/>
          <w:lang w:eastAsia="zh-CN"/>
        </w:rPr>
        <w:t>建设大厦食堂设施设备采购</w:t>
      </w:r>
      <w:r>
        <w:rPr>
          <w:rFonts w:hint="eastAsia" w:ascii="宋体" w:hAnsi="宋体" w:cs="宋体"/>
          <w:sz w:val="24"/>
        </w:rPr>
        <w:t>相关事宜达成如下协议：</w:t>
      </w:r>
    </w:p>
    <w:p>
      <w:pPr>
        <w:snapToGrid w:val="0"/>
        <w:spacing w:line="400" w:lineRule="exact"/>
        <w:ind w:firstLine="472" w:firstLineChars="196"/>
        <w:rPr>
          <w:rFonts w:ascii="宋体" w:hAnsi="宋体"/>
          <w:b/>
          <w:sz w:val="24"/>
        </w:rPr>
      </w:pPr>
      <w:r>
        <w:rPr>
          <w:rFonts w:hint="eastAsia" w:ascii="宋体" w:hAnsi="宋体"/>
          <w:b/>
          <w:sz w:val="24"/>
        </w:rPr>
        <w:t>一、供货范围及价款：</w:t>
      </w:r>
    </w:p>
    <w:p>
      <w:pPr>
        <w:spacing w:line="400" w:lineRule="exact"/>
        <w:ind w:left="1" w:right="-224" w:rightChars="-112" w:firstLine="480" w:firstLineChars="200"/>
        <w:rPr>
          <w:rFonts w:ascii="宋体" w:hAnsi="宋体"/>
          <w:sz w:val="24"/>
        </w:rPr>
      </w:pPr>
      <w:r>
        <w:rPr>
          <w:rFonts w:hint="eastAsia" w:ascii="宋体" w:hAnsi="宋体"/>
          <w:sz w:val="24"/>
        </w:rPr>
        <w:t>1</w:t>
      </w:r>
      <w:r>
        <w:rPr>
          <w:rFonts w:hint="default" w:ascii="宋体" w:hAnsi="宋体"/>
          <w:sz w:val="24"/>
        </w:rPr>
        <w:t>.</w:t>
      </w:r>
      <w:r>
        <w:rPr>
          <w:rFonts w:hint="eastAsia" w:ascii="宋体" w:hAnsi="宋体"/>
          <w:sz w:val="24"/>
        </w:rPr>
        <w:t>合同供货范围：设备名称数量。</w:t>
      </w:r>
    </w:p>
    <w:tbl>
      <w:tblPr>
        <w:tblStyle w:val="26"/>
        <w:tblpPr w:leftFromText="180" w:rightFromText="180" w:vertAnchor="text" w:horzAnchor="page" w:tblpXSpec="center" w:tblpY="265"/>
        <w:tblOverlap w:val="never"/>
        <w:tblW w:w="8781"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
      <w:tblGrid>
        <w:gridCol w:w="1641"/>
        <w:gridCol w:w="2178"/>
        <w:gridCol w:w="765"/>
        <w:gridCol w:w="805"/>
        <w:gridCol w:w="969"/>
        <w:gridCol w:w="1110"/>
        <w:gridCol w:w="131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610" w:hRule="atLeast"/>
          <w:jc w:val="center"/>
        </w:trPr>
        <w:tc>
          <w:tcPr>
            <w:tcW w:w="1641" w:type="dxa"/>
            <w:vAlign w:val="center"/>
          </w:tcPr>
          <w:p>
            <w:pPr>
              <w:jc w:val="center"/>
              <w:rPr>
                <w:rFonts w:ascii="宋体" w:hAnsi="宋体" w:cs="宋体"/>
                <w:b/>
                <w:sz w:val="24"/>
              </w:rPr>
            </w:pPr>
            <w:r>
              <w:rPr>
                <w:rFonts w:hint="eastAsia"/>
                <w:b/>
                <w:sz w:val="24"/>
              </w:rPr>
              <w:t>名  称</w:t>
            </w:r>
          </w:p>
        </w:tc>
        <w:tc>
          <w:tcPr>
            <w:tcW w:w="2178" w:type="dxa"/>
            <w:vAlign w:val="center"/>
          </w:tcPr>
          <w:p>
            <w:pPr>
              <w:jc w:val="center"/>
              <w:rPr>
                <w:rFonts w:ascii="宋体" w:hAnsi="宋体" w:cs="宋体"/>
                <w:b/>
                <w:sz w:val="24"/>
              </w:rPr>
            </w:pPr>
            <w:r>
              <w:rPr>
                <w:rFonts w:hint="eastAsia"/>
                <w:b/>
                <w:sz w:val="24"/>
              </w:rPr>
              <w:t>规格型号</w:t>
            </w:r>
          </w:p>
        </w:tc>
        <w:tc>
          <w:tcPr>
            <w:tcW w:w="765" w:type="dxa"/>
            <w:vAlign w:val="center"/>
          </w:tcPr>
          <w:p>
            <w:pPr>
              <w:jc w:val="center"/>
              <w:rPr>
                <w:rFonts w:ascii="宋体" w:hAnsi="宋体" w:cs="宋体"/>
                <w:b/>
                <w:sz w:val="24"/>
              </w:rPr>
            </w:pPr>
            <w:r>
              <w:rPr>
                <w:rFonts w:hint="eastAsia"/>
                <w:b/>
                <w:sz w:val="24"/>
              </w:rPr>
              <w:t>单位</w:t>
            </w:r>
          </w:p>
        </w:tc>
        <w:tc>
          <w:tcPr>
            <w:tcW w:w="805" w:type="dxa"/>
            <w:vAlign w:val="center"/>
          </w:tcPr>
          <w:p>
            <w:pPr>
              <w:jc w:val="center"/>
              <w:rPr>
                <w:rFonts w:ascii="宋体" w:hAnsi="宋体" w:cs="宋体"/>
                <w:b/>
                <w:sz w:val="24"/>
              </w:rPr>
            </w:pPr>
            <w:r>
              <w:rPr>
                <w:rFonts w:hint="eastAsia"/>
                <w:b/>
                <w:sz w:val="24"/>
              </w:rPr>
              <w:t>数量</w:t>
            </w:r>
          </w:p>
        </w:tc>
        <w:tc>
          <w:tcPr>
            <w:tcW w:w="969" w:type="dxa"/>
            <w:vAlign w:val="center"/>
          </w:tcPr>
          <w:p>
            <w:pPr>
              <w:jc w:val="center"/>
              <w:rPr>
                <w:rFonts w:ascii="宋体" w:hAnsi="宋体" w:cs="宋体"/>
                <w:b/>
                <w:sz w:val="24"/>
                <w:lang w:bidi="ar"/>
              </w:rPr>
            </w:pPr>
            <w:r>
              <w:rPr>
                <w:rFonts w:hint="eastAsia" w:ascii="宋体" w:hAnsi="宋体" w:cs="宋体"/>
                <w:b/>
                <w:sz w:val="24"/>
                <w:lang w:bidi="ar"/>
              </w:rPr>
              <w:t>单价</w:t>
            </w:r>
          </w:p>
        </w:tc>
        <w:tc>
          <w:tcPr>
            <w:tcW w:w="1110" w:type="dxa"/>
            <w:vAlign w:val="center"/>
          </w:tcPr>
          <w:p>
            <w:pPr>
              <w:jc w:val="center"/>
              <w:rPr>
                <w:b/>
                <w:sz w:val="24"/>
              </w:rPr>
            </w:pPr>
            <w:r>
              <w:rPr>
                <w:rFonts w:hint="eastAsia"/>
                <w:b/>
                <w:sz w:val="24"/>
              </w:rPr>
              <w:t>合价</w:t>
            </w:r>
          </w:p>
        </w:tc>
        <w:tc>
          <w:tcPr>
            <w:tcW w:w="1313" w:type="dxa"/>
            <w:vAlign w:val="center"/>
          </w:tcPr>
          <w:p>
            <w:pPr>
              <w:jc w:val="center"/>
              <w:rPr>
                <w:b/>
                <w:sz w:val="24"/>
              </w:rPr>
            </w:pPr>
            <w:r>
              <w:rPr>
                <w:rFonts w:hint="eastAsia"/>
                <w:b/>
                <w:sz w:val="24"/>
              </w:rPr>
              <w:t>备  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680" w:hRule="exact"/>
          <w:jc w:val="center"/>
        </w:trPr>
        <w:tc>
          <w:tcPr>
            <w:tcW w:w="1641" w:type="dxa"/>
            <w:vAlign w:val="center"/>
          </w:tcPr>
          <w:p>
            <w:pPr>
              <w:widowControl/>
              <w:jc w:val="center"/>
              <w:textAlignment w:val="center"/>
              <w:rPr>
                <w:rFonts w:ascii="宋体" w:hAnsi="宋体" w:cs="宋体"/>
                <w:sz w:val="24"/>
              </w:rPr>
            </w:pPr>
          </w:p>
        </w:tc>
        <w:tc>
          <w:tcPr>
            <w:tcW w:w="2178" w:type="dxa"/>
            <w:vAlign w:val="center"/>
          </w:tcPr>
          <w:p>
            <w:pPr>
              <w:widowControl/>
              <w:jc w:val="center"/>
              <w:textAlignment w:val="center"/>
              <w:rPr>
                <w:rFonts w:ascii="宋体" w:hAnsi="宋体" w:cs="宋体"/>
                <w:sz w:val="24"/>
              </w:rPr>
            </w:pPr>
          </w:p>
        </w:tc>
        <w:tc>
          <w:tcPr>
            <w:tcW w:w="765" w:type="dxa"/>
            <w:vAlign w:val="center"/>
          </w:tcPr>
          <w:p>
            <w:pPr>
              <w:widowControl/>
              <w:jc w:val="center"/>
              <w:textAlignment w:val="center"/>
              <w:rPr>
                <w:rFonts w:ascii="宋体" w:hAnsi="宋体" w:cs="宋体"/>
                <w:sz w:val="24"/>
              </w:rPr>
            </w:pPr>
          </w:p>
        </w:tc>
        <w:tc>
          <w:tcPr>
            <w:tcW w:w="805" w:type="dxa"/>
            <w:vAlign w:val="center"/>
          </w:tcPr>
          <w:p>
            <w:pPr>
              <w:widowControl/>
              <w:jc w:val="center"/>
              <w:textAlignment w:val="center"/>
              <w:rPr>
                <w:rFonts w:ascii="宋体" w:hAnsi="宋体" w:cs="宋体"/>
                <w:sz w:val="24"/>
              </w:rPr>
            </w:pPr>
          </w:p>
        </w:tc>
        <w:tc>
          <w:tcPr>
            <w:tcW w:w="969" w:type="dxa"/>
            <w:vAlign w:val="center"/>
          </w:tcPr>
          <w:p>
            <w:pPr>
              <w:rPr>
                <w:rFonts w:ascii="宋体" w:hAnsi="宋体" w:cs="宋体"/>
                <w:sz w:val="24"/>
                <w:lang w:bidi="ar"/>
              </w:rPr>
            </w:pPr>
          </w:p>
        </w:tc>
        <w:tc>
          <w:tcPr>
            <w:tcW w:w="1110" w:type="dxa"/>
            <w:vAlign w:val="center"/>
          </w:tcPr>
          <w:p>
            <w:pPr>
              <w:rPr>
                <w:szCs w:val="21"/>
              </w:rPr>
            </w:pPr>
          </w:p>
        </w:tc>
        <w:tc>
          <w:tcPr>
            <w:tcW w:w="1313" w:type="dxa"/>
            <w:vAlign w:val="center"/>
          </w:tcPr>
          <w:p>
            <w:pPr>
              <w:widowControl/>
              <w:jc w:val="center"/>
              <w:textAlignment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680" w:hRule="exact"/>
          <w:jc w:val="center"/>
        </w:trPr>
        <w:tc>
          <w:tcPr>
            <w:tcW w:w="1641" w:type="dxa"/>
            <w:vAlign w:val="center"/>
          </w:tcPr>
          <w:p>
            <w:pPr>
              <w:widowControl/>
              <w:jc w:val="center"/>
              <w:textAlignment w:val="center"/>
              <w:rPr>
                <w:rFonts w:ascii="宋体" w:hAnsi="宋体" w:cs="宋体"/>
                <w:sz w:val="24"/>
              </w:rPr>
            </w:pPr>
          </w:p>
        </w:tc>
        <w:tc>
          <w:tcPr>
            <w:tcW w:w="2178" w:type="dxa"/>
            <w:vAlign w:val="center"/>
          </w:tcPr>
          <w:p>
            <w:pPr>
              <w:widowControl/>
              <w:jc w:val="center"/>
              <w:textAlignment w:val="center"/>
              <w:rPr>
                <w:rFonts w:ascii="宋体" w:hAnsi="宋体" w:cs="宋体"/>
                <w:sz w:val="24"/>
              </w:rPr>
            </w:pPr>
          </w:p>
        </w:tc>
        <w:tc>
          <w:tcPr>
            <w:tcW w:w="765" w:type="dxa"/>
            <w:vAlign w:val="center"/>
          </w:tcPr>
          <w:p>
            <w:pPr>
              <w:widowControl/>
              <w:jc w:val="center"/>
              <w:textAlignment w:val="center"/>
              <w:rPr>
                <w:rFonts w:ascii="宋体" w:hAnsi="宋体" w:cs="宋体"/>
                <w:sz w:val="24"/>
              </w:rPr>
            </w:pPr>
          </w:p>
        </w:tc>
        <w:tc>
          <w:tcPr>
            <w:tcW w:w="805" w:type="dxa"/>
            <w:vAlign w:val="center"/>
          </w:tcPr>
          <w:p>
            <w:pPr>
              <w:widowControl/>
              <w:jc w:val="center"/>
              <w:textAlignment w:val="center"/>
              <w:rPr>
                <w:rFonts w:ascii="宋体" w:hAnsi="宋体" w:cs="宋体"/>
                <w:sz w:val="24"/>
              </w:rPr>
            </w:pPr>
          </w:p>
        </w:tc>
        <w:tc>
          <w:tcPr>
            <w:tcW w:w="969" w:type="dxa"/>
            <w:vAlign w:val="center"/>
          </w:tcPr>
          <w:p>
            <w:pPr>
              <w:rPr>
                <w:rFonts w:ascii="宋体" w:hAnsi="宋体" w:cs="宋体"/>
                <w:sz w:val="24"/>
                <w:lang w:bidi="ar"/>
              </w:rPr>
            </w:pPr>
          </w:p>
        </w:tc>
        <w:tc>
          <w:tcPr>
            <w:tcW w:w="1110" w:type="dxa"/>
            <w:vAlign w:val="center"/>
          </w:tcPr>
          <w:p>
            <w:pPr>
              <w:rPr>
                <w:szCs w:val="21"/>
              </w:rPr>
            </w:pPr>
          </w:p>
        </w:tc>
        <w:tc>
          <w:tcPr>
            <w:tcW w:w="1313" w:type="dxa"/>
            <w:vAlign w:val="center"/>
          </w:tcPr>
          <w:p>
            <w:pPr>
              <w:widowControl/>
              <w:jc w:val="center"/>
              <w:textAlignment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680" w:hRule="exact"/>
          <w:jc w:val="center"/>
        </w:trPr>
        <w:tc>
          <w:tcPr>
            <w:tcW w:w="1641" w:type="dxa"/>
            <w:vAlign w:val="center"/>
          </w:tcPr>
          <w:p>
            <w:pPr>
              <w:widowControl/>
              <w:jc w:val="center"/>
              <w:textAlignment w:val="center"/>
              <w:rPr>
                <w:sz w:val="24"/>
              </w:rPr>
            </w:pPr>
          </w:p>
        </w:tc>
        <w:tc>
          <w:tcPr>
            <w:tcW w:w="2178" w:type="dxa"/>
            <w:vAlign w:val="center"/>
          </w:tcPr>
          <w:p>
            <w:pPr>
              <w:jc w:val="center"/>
              <w:rPr>
                <w:sz w:val="24"/>
              </w:rPr>
            </w:pPr>
          </w:p>
        </w:tc>
        <w:tc>
          <w:tcPr>
            <w:tcW w:w="765" w:type="dxa"/>
            <w:vAlign w:val="center"/>
          </w:tcPr>
          <w:p>
            <w:pPr>
              <w:widowControl/>
              <w:jc w:val="center"/>
              <w:textAlignment w:val="center"/>
              <w:rPr>
                <w:sz w:val="24"/>
              </w:rPr>
            </w:pPr>
          </w:p>
        </w:tc>
        <w:tc>
          <w:tcPr>
            <w:tcW w:w="805" w:type="dxa"/>
            <w:vAlign w:val="center"/>
          </w:tcPr>
          <w:p>
            <w:pPr>
              <w:widowControl/>
              <w:jc w:val="center"/>
              <w:textAlignment w:val="center"/>
              <w:rPr>
                <w:sz w:val="24"/>
              </w:rPr>
            </w:pPr>
          </w:p>
        </w:tc>
        <w:tc>
          <w:tcPr>
            <w:tcW w:w="969" w:type="dxa"/>
            <w:vAlign w:val="center"/>
          </w:tcPr>
          <w:p>
            <w:pPr>
              <w:rPr>
                <w:rFonts w:ascii="宋体" w:hAnsi="宋体" w:cs="宋体"/>
                <w:sz w:val="24"/>
                <w:lang w:bidi="ar"/>
              </w:rPr>
            </w:pPr>
          </w:p>
        </w:tc>
        <w:tc>
          <w:tcPr>
            <w:tcW w:w="1110" w:type="dxa"/>
            <w:vAlign w:val="center"/>
          </w:tcPr>
          <w:p>
            <w:pPr>
              <w:rPr>
                <w:szCs w:val="21"/>
              </w:rPr>
            </w:pPr>
          </w:p>
        </w:tc>
        <w:tc>
          <w:tcPr>
            <w:tcW w:w="1313" w:type="dxa"/>
            <w:vAlign w:val="center"/>
          </w:tcPr>
          <w:p>
            <w:pPr>
              <w:widowControl/>
              <w:jc w:val="center"/>
              <w:textAlignment w:val="center"/>
              <w:rPr>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680" w:hRule="exact"/>
          <w:jc w:val="center"/>
        </w:trPr>
        <w:tc>
          <w:tcPr>
            <w:tcW w:w="1641" w:type="dxa"/>
            <w:vAlign w:val="center"/>
          </w:tcPr>
          <w:p>
            <w:pPr>
              <w:widowControl/>
              <w:jc w:val="center"/>
              <w:textAlignment w:val="center"/>
              <w:rPr>
                <w:sz w:val="24"/>
              </w:rPr>
            </w:pPr>
          </w:p>
        </w:tc>
        <w:tc>
          <w:tcPr>
            <w:tcW w:w="2178" w:type="dxa"/>
            <w:vAlign w:val="center"/>
          </w:tcPr>
          <w:p>
            <w:pPr>
              <w:jc w:val="center"/>
              <w:rPr>
                <w:sz w:val="24"/>
              </w:rPr>
            </w:pPr>
          </w:p>
        </w:tc>
        <w:tc>
          <w:tcPr>
            <w:tcW w:w="765" w:type="dxa"/>
            <w:vAlign w:val="center"/>
          </w:tcPr>
          <w:p>
            <w:pPr>
              <w:widowControl/>
              <w:jc w:val="center"/>
              <w:textAlignment w:val="center"/>
              <w:rPr>
                <w:sz w:val="24"/>
              </w:rPr>
            </w:pPr>
          </w:p>
        </w:tc>
        <w:tc>
          <w:tcPr>
            <w:tcW w:w="805" w:type="dxa"/>
            <w:vAlign w:val="center"/>
          </w:tcPr>
          <w:p>
            <w:pPr>
              <w:widowControl/>
              <w:jc w:val="center"/>
              <w:textAlignment w:val="center"/>
              <w:rPr>
                <w:sz w:val="24"/>
              </w:rPr>
            </w:pPr>
          </w:p>
        </w:tc>
        <w:tc>
          <w:tcPr>
            <w:tcW w:w="969" w:type="dxa"/>
            <w:vAlign w:val="center"/>
          </w:tcPr>
          <w:p>
            <w:pPr>
              <w:rPr>
                <w:rFonts w:ascii="宋体" w:hAnsi="宋体" w:cs="宋体"/>
                <w:sz w:val="24"/>
                <w:lang w:bidi="ar"/>
              </w:rPr>
            </w:pPr>
          </w:p>
        </w:tc>
        <w:tc>
          <w:tcPr>
            <w:tcW w:w="1110" w:type="dxa"/>
            <w:vAlign w:val="center"/>
          </w:tcPr>
          <w:p>
            <w:pPr>
              <w:rPr>
                <w:szCs w:val="21"/>
              </w:rPr>
            </w:pPr>
          </w:p>
        </w:tc>
        <w:tc>
          <w:tcPr>
            <w:tcW w:w="1313" w:type="dxa"/>
            <w:vAlign w:val="center"/>
          </w:tcPr>
          <w:p>
            <w:pPr>
              <w:widowControl/>
              <w:jc w:val="center"/>
              <w:textAlignment w:val="center"/>
              <w:rPr>
                <w:szCs w:val="21"/>
              </w:rPr>
            </w:pPr>
          </w:p>
        </w:tc>
      </w:tr>
    </w:tbl>
    <w:p>
      <w:pPr>
        <w:spacing w:line="400" w:lineRule="exact"/>
        <w:ind w:right="-224" w:rightChars="-112" w:firstLine="477" w:firstLineChars="198"/>
        <w:jc w:val="left"/>
        <w:rPr>
          <w:rFonts w:ascii="宋体" w:hAnsi="宋体"/>
          <w:sz w:val="24"/>
        </w:rPr>
      </w:pPr>
      <w:r>
        <w:rPr>
          <w:rFonts w:hint="eastAsia" w:ascii="宋体" w:hAnsi="宋体"/>
          <w:b/>
          <w:sz w:val="24"/>
        </w:rPr>
        <w:t>注：</w:t>
      </w:r>
      <w:r>
        <w:rPr>
          <w:rFonts w:hint="eastAsia" w:ascii="宋体" w:hAnsi="宋体"/>
          <w:b/>
          <w:sz w:val="24"/>
          <w:lang w:eastAsia="zh-CN"/>
        </w:rPr>
        <w:t>供应商</w:t>
      </w:r>
      <w:r>
        <w:rPr>
          <w:rFonts w:hint="eastAsia" w:ascii="宋体" w:hAnsi="宋体"/>
          <w:b/>
          <w:sz w:val="24"/>
        </w:rPr>
        <w:t>提供的设备必须符合招标文件、投标文件和答疑文件的相关技术要求。当招标文件与投标文件不符时以招标文件为准。</w:t>
      </w:r>
    </w:p>
    <w:p>
      <w:pPr>
        <w:spacing w:line="400" w:lineRule="exact"/>
        <w:ind w:left="456" w:leftChars="228" w:right="-224" w:rightChars="-112"/>
        <w:jc w:val="left"/>
        <w:rPr>
          <w:rFonts w:ascii="宋体" w:hAnsi="宋体"/>
          <w:sz w:val="24"/>
        </w:rPr>
      </w:pPr>
      <w:r>
        <w:rPr>
          <w:rFonts w:hint="eastAsia" w:ascii="宋体" w:hAnsi="宋体"/>
          <w:sz w:val="24"/>
        </w:rPr>
        <w:t>2</w:t>
      </w:r>
      <w:r>
        <w:rPr>
          <w:rFonts w:hint="default" w:ascii="宋体" w:hAnsi="宋体"/>
          <w:sz w:val="24"/>
        </w:rPr>
        <w:t>.</w:t>
      </w:r>
      <w:r>
        <w:rPr>
          <w:rFonts w:hint="eastAsia" w:ascii="宋体" w:hAnsi="宋体"/>
          <w:sz w:val="24"/>
        </w:rPr>
        <w:t>合同价</w:t>
      </w:r>
      <w:r>
        <w:rPr>
          <w:rFonts w:hint="eastAsia" w:ascii="宋体" w:hAnsi="宋体"/>
          <w:sz w:val="24"/>
          <w:lang w:eastAsia="zh-CN"/>
        </w:rPr>
        <w:t>为</w:t>
      </w:r>
      <w:r>
        <w:rPr>
          <w:rFonts w:hint="eastAsia" w:ascii="宋体" w:hAnsi="宋体" w:eastAsia="宋体" w:cs="宋体"/>
          <w:sz w:val="24"/>
          <w:szCs w:val="24"/>
          <w:lang w:eastAsia="zh-CN"/>
        </w:rPr>
        <w:t>人民币</w:t>
      </w:r>
      <w:r>
        <w:rPr>
          <w:rFonts w:hint="eastAsia" w:ascii="宋体" w:hAnsi="宋体" w:eastAsia="宋体" w:cs="宋体"/>
          <w:sz w:val="24"/>
          <w:szCs w:val="24"/>
          <w:u w:val="single"/>
          <w:lang w:val="en-US" w:eastAsia="zh-CN"/>
        </w:rPr>
        <w:t xml:space="preserve">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u w:val="none"/>
          <w:lang w:eastAsia="zh-CN"/>
        </w:rPr>
        <w:t>元整</w:t>
      </w:r>
      <w:r>
        <w:rPr>
          <w:rFonts w:hint="eastAsia" w:ascii="宋体" w:hAnsi="宋体" w:eastAsia="宋体" w:cs="宋体"/>
          <w:kern w:val="0"/>
          <w:sz w:val="24"/>
          <w:szCs w:val="24"/>
        </w:rPr>
        <w:t>（￥：</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sz w:val="24"/>
          <w:szCs w:val="24"/>
          <w:u w:val="none"/>
          <w:lang w:eastAsia="zh-CN"/>
        </w:rPr>
        <w:t>元</w:t>
      </w:r>
      <w:r>
        <w:rPr>
          <w:rFonts w:hint="eastAsia" w:ascii="宋体" w:hAnsi="宋体" w:eastAsia="宋体" w:cs="宋体"/>
          <w:kern w:val="0"/>
          <w:sz w:val="24"/>
          <w:szCs w:val="24"/>
          <w:u w:val="none"/>
        </w:rPr>
        <w:t xml:space="preserve"> </w:t>
      </w:r>
      <w:r>
        <w:rPr>
          <w:rFonts w:hint="eastAsia" w:ascii="宋体" w:hAnsi="宋体" w:eastAsia="宋体" w:cs="宋体"/>
          <w:kern w:val="0"/>
          <w:sz w:val="24"/>
          <w:szCs w:val="24"/>
        </w:rPr>
        <w:t>）</w:t>
      </w:r>
      <w:r>
        <w:rPr>
          <w:rFonts w:hint="eastAsia" w:ascii="宋体" w:hAnsi="宋体"/>
          <w:sz w:val="24"/>
        </w:rPr>
        <w:t>。</w:t>
      </w:r>
    </w:p>
    <w:p>
      <w:pPr>
        <w:spacing w:line="400" w:lineRule="exact"/>
        <w:ind w:left="1" w:firstLine="480" w:firstLineChars="200"/>
        <w:rPr>
          <w:rFonts w:ascii="宋体" w:hAnsi="宋体"/>
          <w:sz w:val="24"/>
        </w:rPr>
      </w:pPr>
      <w:r>
        <w:rPr>
          <w:rFonts w:hint="eastAsia" w:ascii="宋体" w:hAnsi="宋体"/>
          <w:sz w:val="24"/>
        </w:rPr>
        <w:t>3</w:t>
      </w:r>
      <w:r>
        <w:rPr>
          <w:rFonts w:hint="default" w:ascii="宋体" w:hAnsi="宋体"/>
          <w:sz w:val="24"/>
        </w:rPr>
        <w:t>.</w:t>
      </w:r>
      <w:r>
        <w:rPr>
          <w:rFonts w:hint="eastAsia" w:ascii="宋体" w:hAnsi="宋体"/>
          <w:sz w:val="24"/>
        </w:rPr>
        <w:t>本合同总价</w:t>
      </w:r>
      <w:r>
        <w:rPr>
          <w:rFonts w:ascii="宋体" w:hAnsi="宋体"/>
          <w:sz w:val="24"/>
        </w:rPr>
        <w:t>主要</w:t>
      </w:r>
      <w:r>
        <w:rPr>
          <w:rFonts w:hint="eastAsia" w:ascii="宋体" w:hAnsi="宋体"/>
          <w:sz w:val="24"/>
        </w:rPr>
        <w:t>包括但不仅限于设备的设计、制造、供货、发货、配件费、材料费、安装费、调试费、指导安装、保险、人工费、管理费、税费、运费、规费、现场勘查费和交付使用、设备在本文规定的质保期内的维修保养，以及为达到与原有设备平台无缝对接使设备能安全、满意的运行设施等，并应保证设备在各方面均能达到正常运行要求的费用，以及招标代理费和其它一切不可预见和实际所需的一切其他费用等，如有漏报，视同已包含在其报价中。</w:t>
      </w:r>
    </w:p>
    <w:p>
      <w:pPr>
        <w:spacing w:line="400" w:lineRule="exact"/>
        <w:ind w:left="1" w:firstLine="480" w:firstLineChars="200"/>
        <w:rPr>
          <w:rFonts w:ascii="宋体" w:hAnsi="宋体"/>
          <w:sz w:val="24"/>
        </w:rPr>
      </w:pPr>
      <w:r>
        <w:rPr>
          <w:rFonts w:hint="eastAsia" w:ascii="宋体" w:hAnsi="宋体"/>
          <w:sz w:val="24"/>
        </w:rPr>
        <w:t>4</w:t>
      </w:r>
      <w:r>
        <w:rPr>
          <w:rFonts w:hint="default" w:ascii="宋体" w:hAnsi="宋体"/>
          <w:sz w:val="24"/>
        </w:rPr>
        <w:t>.</w:t>
      </w:r>
      <w:r>
        <w:rPr>
          <w:rFonts w:hint="eastAsia" w:ascii="宋体" w:hAnsi="宋体"/>
          <w:sz w:val="24"/>
        </w:rPr>
        <w:t>每个设备均应有制造厂家的铭牌，并装在显著的地方，铭牌上至少应包括制造厂名称、型号、制造年份及其他性能资料等可完全识别此项设备所必需的资料。带有</w:t>
      </w:r>
      <w:r>
        <w:rPr>
          <w:rFonts w:hint="eastAsia" w:ascii="宋体" w:hAnsi="宋体"/>
          <w:sz w:val="24"/>
          <w:u w:val="single"/>
        </w:rPr>
        <w:t>使用说明书、合格证、质保书等</w:t>
      </w:r>
      <w:r>
        <w:rPr>
          <w:rFonts w:hint="eastAsia" w:ascii="宋体" w:hAnsi="宋体"/>
          <w:sz w:val="24"/>
        </w:rPr>
        <w:t>相关技术资料。如发现不合格的设备材料，由</w:t>
      </w:r>
      <w:r>
        <w:rPr>
          <w:rFonts w:hint="eastAsia" w:ascii="宋体" w:hAnsi="宋体"/>
          <w:sz w:val="24"/>
          <w:lang w:eastAsia="zh-CN"/>
        </w:rPr>
        <w:t>供应商</w:t>
      </w:r>
      <w:r>
        <w:rPr>
          <w:rFonts w:hint="eastAsia" w:ascii="宋体" w:hAnsi="宋体"/>
          <w:sz w:val="24"/>
        </w:rPr>
        <w:t>承担全部的经济损失和责任。</w:t>
      </w:r>
    </w:p>
    <w:p>
      <w:pPr>
        <w:spacing w:line="400" w:lineRule="exact"/>
        <w:ind w:left="1" w:right="-224" w:rightChars="-112" w:firstLine="472" w:firstLineChars="196"/>
        <w:rPr>
          <w:rFonts w:ascii="宋体" w:hAnsi="宋体"/>
          <w:b/>
          <w:sz w:val="24"/>
        </w:rPr>
      </w:pPr>
      <w:r>
        <w:rPr>
          <w:rFonts w:hint="eastAsia" w:ascii="宋体" w:hAnsi="宋体"/>
          <w:b/>
          <w:sz w:val="24"/>
        </w:rPr>
        <w:t>二、设备的质量、技术标准</w:t>
      </w:r>
    </w:p>
    <w:p>
      <w:pPr>
        <w:spacing w:line="440" w:lineRule="exact"/>
        <w:ind w:firstLine="480" w:firstLineChars="200"/>
        <w:rPr>
          <w:rFonts w:ascii="宋体" w:hAnsi="宋体"/>
          <w:sz w:val="24"/>
        </w:rPr>
      </w:pPr>
      <w:r>
        <w:rPr>
          <w:rFonts w:hint="eastAsia" w:ascii="宋体" w:hAnsi="宋体"/>
          <w:sz w:val="24"/>
        </w:rPr>
        <w:t>技术指标：详见招标文件采购需求。</w:t>
      </w:r>
    </w:p>
    <w:p>
      <w:pPr>
        <w:spacing w:line="400" w:lineRule="exact"/>
        <w:ind w:right="-224" w:rightChars="-112" w:firstLine="480" w:firstLineChars="200"/>
        <w:rPr>
          <w:rFonts w:ascii="宋体" w:hAnsi="宋体"/>
          <w:b/>
          <w:sz w:val="24"/>
        </w:rPr>
      </w:pPr>
      <w:r>
        <w:rPr>
          <w:rFonts w:hint="eastAsia" w:ascii="宋体" w:hAnsi="宋体"/>
          <w:sz w:val="24"/>
        </w:rPr>
        <w:t>三</w:t>
      </w:r>
      <w:r>
        <w:rPr>
          <w:rFonts w:hint="eastAsia" w:ascii="宋体" w:hAnsi="宋体"/>
          <w:b/>
          <w:sz w:val="24"/>
        </w:rPr>
        <w:t>、知识产权</w:t>
      </w:r>
    </w:p>
    <w:p>
      <w:pPr>
        <w:spacing w:line="400" w:lineRule="exact"/>
        <w:ind w:left="1" w:right="-224" w:rightChars="-112" w:firstLine="480" w:firstLineChars="200"/>
        <w:rPr>
          <w:rFonts w:ascii="宋体" w:hAnsi="宋体"/>
          <w:sz w:val="24"/>
        </w:rPr>
      </w:pPr>
      <w:r>
        <w:rPr>
          <w:rFonts w:hint="eastAsia" w:ascii="宋体" w:hAnsi="宋体"/>
          <w:sz w:val="24"/>
          <w:lang w:eastAsia="zh-CN"/>
        </w:rPr>
        <w:t>供应商</w:t>
      </w:r>
      <w:r>
        <w:rPr>
          <w:rFonts w:hint="eastAsia" w:ascii="宋体" w:hAnsi="宋体"/>
          <w:sz w:val="24"/>
        </w:rPr>
        <w:t>对一切可能的侵权指控负责。</w:t>
      </w:r>
    </w:p>
    <w:p>
      <w:pPr>
        <w:spacing w:line="400" w:lineRule="exact"/>
        <w:ind w:right="-224" w:rightChars="-112" w:firstLine="472" w:firstLineChars="196"/>
        <w:rPr>
          <w:rFonts w:ascii="宋体" w:hAnsi="宋体"/>
          <w:b/>
          <w:sz w:val="24"/>
        </w:rPr>
      </w:pPr>
      <w:r>
        <w:rPr>
          <w:rFonts w:hint="eastAsia" w:ascii="宋体" w:hAnsi="宋体"/>
          <w:b/>
          <w:sz w:val="24"/>
        </w:rPr>
        <w:t>四、设备包装、运输、装卸和保险</w:t>
      </w:r>
    </w:p>
    <w:p>
      <w:pPr>
        <w:spacing w:line="400" w:lineRule="exact"/>
        <w:ind w:left="1" w:right="-224" w:rightChars="-112" w:firstLine="480" w:firstLineChars="200"/>
        <w:rPr>
          <w:rFonts w:ascii="宋体" w:hAnsi="宋体"/>
          <w:sz w:val="24"/>
        </w:rPr>
      </w:pPr>
      <w:r>
        <w:rPr>
          <w:rFonts w:hint="eastAsia" w:ascii="宋体" w:hAnsi="宋体"/>
          <w:sz w:val="24"/>
        </w:rPr>
        <w:t>1</w:t>
      </w:r>
      <w:r>
        <w:rPr>
          <w:rFonts w:hint="default" w:ascii="宋体" w:hAnsi="宋体"/>
          <w:sz w:val="24"/>
        </w:rPr>
        <w:t>.</w:t>
      </w:r>
      <w:r>
        <w:rPr>
          <w:rFonts w:hint="eastAsia" w:ascii="宋体" w:hAnsi="宋体"/>
          <w:sz w:val="24"/>
        </w:rPr>
        <w:t>为了保证设备在长途运输和装卸过程中的安全，设备包装应符合国家或专业（部）标准规定。由于包装不善导致设备锈蚀、失缺或损坏，由</w:t>
      </w:r>
      <w:r>
        <w:rPr>
          <w:rFonts w:hint="eastAsia" w:ascii="宋体" w:hAnsi="宋体"/>
          <w:sz w:val="24"/>
          <w:lang w:eastAsia="zh-CN"/>
        </w:rPr>
        <w:t>供应商</w:t>
      </w:r>
      <w:r>
        <w:rPr>
          <w:rFonts w:hint="eastAsia" w:ascii="宋体" w:hAnsi="宋体"/>
          <w:sz w:val="24"/>
        </w:rPr>
        <w:t>承担一切责任。</w:t>
      </w:r>
    </w:p>
    <w:p>
      <w:pPr>
        <w:spacing w:line="400" w:lineRule="exact"/>
        <w:ind w:left="1" w:right="-224" w:rightChars="-112" w:firstLine="480" w:firstLineChars="200"/>
        <w:rPr>
          <w:rFonts w:ascii="宋体" w:hAnsi="宋体"/>
          <w:sz w:val="24"/>
        </w:rPr>
      </w:pPr>
      <w:r>
        <w:rPr>
          <w:rFonts w:hint="eastAsia" w:ascii="宋体" w:hAnsi="宋体"/>
          <w:sz w:val="24"/>
        </w:rPr>
        <w:t>2</w:t>
      </w:r>
      <w:r>
        <w:rPr>
          <w:rFonts w:hint="default" w:ascii="宋体" w:hAnsi="宋体"/>
          <w:sz w:val="24"/>
        </w:rPr>
        <w:t>.</w:t>
      </w:r>
      <w:r>
        <w:rPr>
          <w:rFonts w:hint="eastAsia" w:ascii="宋体" w:hAnsi="宋体"/>
          <w:sz w:val="24"/>
        </w:rPr>
        <w:t>每一包装箱内必须附有装箱清单。</w:t>
      </w:r>
    </w:p>
    <w:p>
      <w:pPr>
        <w:spacing w:line="400" w:lineRule="exact"/>
        <w:ind w:left="1" w:right="-224" w:rightChars="-112" w:firstLine="480" w:firstLineChars="200"/>
        <w:rPr>
          <w:rFonts w:ascii="宋体" w:hAnsi="宋体"/>
          <w:sz w:val="24"/>
        </w:rPr>
      </w:pPr>
      <w:r>
        <w:rPr>
          <w:rFonts w:hint="eastAsia" w:ascii="宋体" w:hAnsi="宋体"/>
          <w:sz w:val="24"/>
        </w:rPr>
        <w:t>3</w:t>
      </w:r>
      <w:r>
        <w:rPr>
          <w:rFonts w:hint="default" w:ascii="宋体" w:hAnsi="宋体"/>
          <w:sz w:val="24"/>
        </w:rPr>
        <w:t>.</w:t>
      </w:r>
      <w:r>
        <w:rPr>
          <w:rFonts w:hint="eastAsia" w:ascii="宋体" w:hAnsi="宋体"/>
          <w:sz w:val="24"/>
        </w:rPr>
        <w:t>货物在装运前由</w:t>
      </w:r>
      <w:r>
        <w:rPr>
          <w:rFonts w:hint="eastAsia" w:ascii="宋体" w:hAnsi="宋体"/>
          <w:sz w:val="24"/>
          <w:lang w:eastAsia="zh-CN"/>
        </w:rPr>
        <w:t>供应商</w:t>
      </w:r>
      <w:r>
        <w:rPr>
          <w:rFonts w:hint="eastAsia" w:ascii="宋体" w:hAnsi="宋体"/>
          <w:sz w:val="24"/>
        </w:rPr>
        <w:t>投保，一旦货物在装车、运输过程中发生损坏或短缺，由</w:t>
      </w:r>
      <w:r>
        <w:rPr>
          <w:rFonts w:hint="eastAsia" w:ascii="宋体" w:hAnsi="宋体"/>
          <w:sz w:val="24"/>
          <w:lang w:eastAsia="zh-CN"/>
        </w:rPr>
        <w:t>供应商</w:t>
      </w:r>
      <w:r>
        <w:rPr>
          <w:rFonts w:hint="eastAsia" w:ascii="宋体" w:hAnsi="宋体"/>
          <w:sz w:val="24"/>
        </w:rPr>
        <w:t>负责索赔。</w:t>
      </w:r>
    </w:p>
    <w:p>
      <w:pPr>
        <w:spacing w:line="400" w:lineRule="exact"/>
        <w:ind w:left="1" w:right="-224" w:rightChars="-112" w:firstLine="480" w:firstLineChars="200"/>
        <w:rPr>
          <w:rFonts w:ascii="宋体" w:hAnsi="宋体"/>
          <w:sz w:val="24"/>
        </w:rPr>
      </w:pPr>
      <w:r>
        <w:rPr>
          <w:rFonts w:hint="eastAsia" w:ascii="宋体" w:hAnsi="宋体"/>
          <w:sz w:val="24"/>
        </w:rPr>
        <w:t>4</w:t>
      </w:r>
      <w:r>
        <w:rPr>
          <w:rFonts w:hint="default" w:ascii="宋体" w:hAnsi="宋体"/>
          <w:sz w:val="24"/>
        </w:rPr>
        <w:t>.</w:t>
      </w:r>
      <w:r>
        <w:rPr>
          <w:rFonts w:hint="eastAsia" w:ascii="宋体" w:hAnsi="宋体"/>
          <w:sz w:val="24"/>
          <w:lang w:eastAsia="zh-CN"/>
        </w:rPr>
        <w:t>供应商</w:t>
      </w:r>
      <w:r>
        <w:rPr>
          <w:rFonts w:hint="eastAsia" w:ascii="宋体" w:hAnsi="宋体"/>
          <w:sz w:val="24"/>
        </w:rPr>
        <w:t>保证在确认货物因装车、运输中发生损坏或短缺后，尽快给予调换、修复和补齐缺件，不管其造成的原因如何，也不能以办理索赔为由而拖延。</w:t>
      </w:r>
    </w:p>
    <w:p>
      <w:pPr>
        <w:spacing w:line="400" w:lineRule="exact"/>
        <w:ind w:left="1" w:right="-224" w:rightChars="-112" w:firstLine="480" w:firstLineChars="200"/>
        <w:rPr>
          <w:rFonts w:ascii="宋体" w:hAnsi="宋体"/>
          <w:sz w:val="24"/>
        </w:rPr>
      </w:pPr>
      <w:r>
        <w:rPr>
          <w:rFonts w:hint="eastAsia" w:ascii="宋体" w:hAnsi="宋体"/>
          <w:sz w:val="24"/>
        </w:rPr>
        <w:t>5</w:t>
      </w:r>
      <w:r>
        <w:rPr>
          <w:rFonts w:hint="default" w:ascii="宋体" w:hAnsi="宋体"/>
          <w:sz w:val="24"/>
        </w:rPr>
        <w:t>.</w:t>
      </w:r>
      <w:r>
        <w:rPr>
          <w:rFonts w:hint="eastAsia" w:ascii="宋体" w:hAnsi="宋体"/>
          <w:sz w:val="24"/>
          <w:lang w:eastAsia="zh-CN"/>
        </w:rPr>
        <w:t>供应商</w:t>
      </w:r>
      <w:r>
        <w:rPr>
          <w:rFonts w:hint="eastAsia" w:ascii="宋体" w:hAnsi="宋体"/>
          <w:sz w:val="24"/>
        </w:rPr>
        <w:t>在设备发运前15天将准备发运的设备名称、规格、数量、包装箱件数、每件包装箱的尺码、毛重及对货物贮存的特殊要求以传真的形式通知</w:t>
      </w:r>
      <w:r>
        <w:rPr>
          <w:rFonts w:hint="eastAsia" w:ascii="宋体" w:hAnsi="宋体"/>
          <w:sz w:val="24"/>
          <w:lang w:eastAsia="zh-CN"/>
        </w:rPr>
        <w:t>采购方</w:t>
      </w:r>
      <w:r>
        <w:rPr>
          <w:rFonts w:hint="eastAsia" w:ascii="宋体" w:hAnsi="宋体"/>
          <w:sz w:val="24"/>
        </w:rPr>
        <w:t>，以便接货。</w:t>
      </w:r>
    </w:p>
    <w:p>
      <w:pPr>
        <w:spacing w:line="400" w:lineRule="exact"/>
        <w:ind w:left="1" w:right="-224" w:rightChars="-112" w:firstLine="472" w:firstLineChars="196"/>
        <w:rPr>
          <w:rFonts w:ascii="宋体" w:hAnsi="宋体"/>
          <w:b/>
          <w:sz w:val="24"/>
        </w:rPr>
      </w:pPr>
      <w:r>
        <w:rPr>
          <w:rFonts w:hint="eastAsia" w:ascii="宋体" w:hAnsi="宋体"/>
          <w:b/>
          <w:sz w:val="24"/>
        </w:rPr>
        <w:t>五、合同交货期、交货方式、地点</w:t>
      </w:r>
    </w:p>
    <w:p>
      <w:pPr>
        <w:spacing w:line="400" w:lineRule="exact"/>
        <w:ind w:left="1" w:right="-224" w:rightChars="-112" w:firstLine="480" w:firstLineChars="200"/>
        <w:rPr>
          <w:rFonts w:hint="eastAsia" w:ascii="宋体" w:hAnsi="宋体" w:eastAsia="宋体"/>
          <w:sz w:val="24"/>
          <w:lang w:eastAsia="zh-CN"/>
        </w:rPr>
      </w:pPr>
      <w:r>
        <w:rPr>
          <w:rFonts w:hint="eastAsia" w:ascii="宋体" w:hAnsi="宋体"/>
          <w:sz w:val="24"/>
        </w:rPr>
        <w:t>1</w:t>
      </w:r>
      <w:r>
        <w:rPr>
          <w:rFonts w:hint="default" w:ascii="宋体" w:hAnsi="宋体"/>
          <w:sz w:val="24"/>
        </w:rPr>
        <w:t>.</w:t>
      </w:r>
      <w:r>
        <w:rPr>
          <w:rFonts w:hint="eastAsia" w:ascii="宋体" w:hAnsi="宋体"/>
          <w:sz w:val="24"/>
        </w:rPr>
        <w:t>供货时间：</w:t>
      </w:r>
      <w:r>
        <w:rPr>
          <w:rFonts w:hint="eastAsia" w:ascii="宋体" w:hAnsi="宋体" w:eastAsia="宋体"/>
          <w:sz w:val="24"/>
          <w:lang w:val="en-US" w:eastAsia="zh-CN"/>
        </w:rPr>
        <w:t>合同签订后40日内</w:t>
      </w:r>
      <w:r>
        <w:rPr>
          <w:rFonts w:hint="eastAsia" w:ascii="宋体" w:hAnsi="宋体" w:eastAsia="宋体"/>
          <w:sz w:val="24"/>
        </w:rPr>
        <w:t>完成供货及安装</w:t>
      </w:r>
      <w:r>
        <w:rPr>
          <w:rFonts w:hint="eastAsia" w:ascii="宋体" w:hAnsi="宋体" w:eastAsia="宋体"/>
          <w:sz w:val="24"/>
          <w:lang w:eastAsia="zh-CN"/>
        </w:rPr>
        <w:t>调试。</w:t>
      </w:r>
    </w:p>
    <w:p>
      <w:pPr>
        <w:spacing w:line="400" w:lineRule="exact"/>
        <w:ind w:left="1" w:right="-224" w:rightChars="-112" w:firstLine="480" w:firstLineChars="200"/>
        <w:rPr>
          <w:rFonts w:ascii="宋体" w:hAnsi="宋体"/>
          <w:sz w:val="24"/>
        </w:rPr>
      </w:pPr>
      <w:r>
        <w:rPr>
          <w:rFonts w:hint="eastAsia" w:ascii="宋体" w:hAnsi="宋体"/>
          <w:sz w:val="24"/>
        </w:rPr>
        <w:t>2</w:t>
      </w:r>
      <w:r>
        <w:rPr>
          <w:rFonts w:hint="default" w:ascii="宋体" w:hAnsi="宋体"/>
          <w:sz w:val="24"/>
        </w:rPr>
        <w:t>.</w:t>
      </w:r>
      <w:r>
        <w:rPr>
          <w:rFonts w:hint="eastAsia" w:ascii="宋体" w:hAnsi="宋体"/>
          <w:sz w:val="24"/>
        </w:rPr>
        <w:t>供货地点：</w:t>
      </w:r>
      <w:r>
        <w:rPr>
          <w:rFonts w:hint="eastAsia" w:ascii="宋体" w:hAnsi="宋体"/>
          <w:sz w:val="24"/>
          <w:lang w:eastAsia="zh-CN"/>
        </w:rPr>
        <w:t>采购方</w:t>
      </w:r>
      <w:r>
        <w:rPr>
          <w:rFonts w:hint="eastAsia" w:ascii="宋体" w:hAnsi="宋体"/>
          <w:sz w:val="24"/>
        </w:rPr>
        <w:t>指定地点（安装现场）</w:t>
      </w:r>
    </w:p>
    <w:p>
      <w:pPr>
        <w:spacing w:line="400" w:lineRule="exact"/>
        <w:ind w:left="1" w:right="-224" w:rightChars="-112" w:firstLine="472" w:firstLineChars="196"/>
        <w:rPr>
          <w:rFonts w:ascii="宋体" w:hAnsi="宋体"/>
          <w:b/>
          <w:sz w:val="24"/>
        </w:rPr>
      </w:pPr>
      <w:r>
        <w:rPr>
          <w:rFonts w:hint="eastAsia" w:ascii="宋体" w:hAnsi="宋体"/>
          <w:b/>
          <w:sz w:val="24"/>
        </w:rPr>
        <w:t>六、质量保证</w:t>
      </w:r>
    </w:p>
    <w:p>
      <w:pPr>
        <w:spacing w:line="400" w:lineRule="exact"/>
        <w:ind w:left="1" w:right="-224" w:rightChars="-112" w:firstLine="480" w:firstLineChars="200"/>
        <w:rPr>
          <w:rFonts w:ascii="宋体" w:hAnsi="宋体"/>
          <w:sz w:val="24"/>
        </w:rPr>
      </w:pPr>
      <w:r>
        <w:rPr>
          <w:rFonts w:hint="eastAsia" w:ascii="宋体" w:hAnsi="宋体"/>
          <w:sz w:val="24"/>
        </w:rPr>
        <w:t>1</w:t>
      </w:r>
      <w:r>
        <w:rPr>
          <w:rFonts w:hint="default" w:ascii="宋体" w:hAnsi="宋体"/>
          <w:sz w:val="24"/>
        </w:rPr>
        <w:t>.</w:t>
      </w:r>
      <w:r>
        <w:rPr>
          <w:rFonts w:hint="eastAsia" w:ascii="宋体" w:hAnsi="宋体"/>
          <w:sz w:val="24"/>
          <w:lang w:eastAsia="zh-CN"/>
        </w:rPr>
        <w:t>供应商</w:t>
      </w:r>
      <w:r>
        <w:rPr>
          <w:rFonts w:hint="eastAsia" w:ascii="宋体" w:hAnsi="宋体"/>
          <w:sz w:val="24"/>
        </w:rPr>
        <w:t>保证所提供的设备是全新的、未使用过的。</w:t>
      </w:r>
    </w:p>
    <w:p>
      <w:pPr>
        <w:spacing w:line="400" w:lineRule="exact"/>
        <w:ind w:left="1" w:right="-224" w:rightChars="-112" w:firstLine="480" w:firstLineChars="200"/>
        <w:rPr>
          <w:rFonts w:ascii="宋体" w:hAnsi="宋体"/>
          <w:sz w:val="24"/>
        </w:rPr>
      </w:pPr>
      <w:r>
        <w:rPr>
          <w:rFonts w:hint="eastAsia" w:ascii="宋体" w:hAnsi="宋体"/>
          <w:sz w:val="24"/>
        </w:rPr>
        <w:t>2</w:t>
      </w:r>
      <w:r>
        <w:rPr>
          <w:rFonts w:hint="default" w:ascii="宋体" w:hAnsi="宋体"/>
          <w:sz w:val="24"/>
        </w:rPr>
        <w:t>.</w:t>
      </w:r>
      <w:r>
        <w:rPr>
          <w:rFonts w:hint="eastAsia" w:ascii="宋体" w:hAnsi="宋体"/>
          <w:sz w:val="24"/>
          <w:lang w:eastAsia="zh-CN"/>
        </w:rPr>
        <w:t>供应商</w:t>
      </w:r>
      <w:r>
        <w:rPr>
          <w:rFonts w:hint="eastAsia" w:ascii="宋体" w:hAnsi="宋体"/>
          <w:sz w:val="24"/>
        </w:rPr>
        <w:t>保证采用先进的技术、优质的材料和零部件、一流的工艺、严格的质量管理为</w:t>
      </w:r>
      <w:r>
        <w:rPr>
          <w:rFonts w:hint="eastAsia" w:ascii="宋体" w:hAnsi="宋体"/>
          <w:sz w:val="24"/>
          <w:lang w:eastAsia="zh-CN"/>
        </w:rPr>
        <w:t>采购方</w:t>
      </w:r>
      <w:r>
        <w:rPr>
          <w:rFonts w:hint="eastAsia" w:ascii="宋体" w:hAnsi="宋体"/>
          <w:sz w:val="24"/>
        </w:rPr>
        <w:t>提供技术先进、质量上乘、外表美观并完全符合合同规定的质量、规格、性能要求的设备。</w:t>
      </w:r>
    </w:p>
    <w:p>
      <w:pPr>
        <w:spacing w:line="400" w:lineRule="exact"/>
        <w:ind w:left="1" w:right="-224" w:rightChars="-112" w:firstLine="480" w:firstLineChars="200"/>
        <w:rPr>
          <w:rFonts w:ascii="宋体" w:hAnsi="宋体"/>
          <w:sz w:val="24"/>
        </w:rPr>
      </w:pPr>
      <w:r>
        <w:rPr>
          <w:rFonts w:hint="eastAsia" w:ascii="宋体" w:hAnsi="宋体"/>
          <w:sz w:val="24"/>
        </w:rPr>
        <w:t>3</w:t>
      </w:r>
      <w:r>
        <w:rPr>
          <w:rFonts w:hint="default" w:ascii="宋体" w:hAnsi="宋体"/>
          <w:sz w:val="24"/>
        </w:rPr>
        <w:t>.</w:t>
      </w:r>
      <w:r>
        <w:rPr>
          <w:rFonts w:hint="eastAsia" w:ascii="宋体" w:hAnsi="宋体"/>
          <w:sz w:val="24"/>
          <w:lang w:eastAsia="zh-CN"/>
        </w:rPr>
        <w:t>供应商</w:t>
      </w:r>
      <w:r>
        <w:rPr>
          <w:rFonts w:hint="eastAsia" w:ascii="宋体" w:hAnsi="宋体"/>
          <w:sz w:val="24"/>
        </w:rPr>
        <w:t>应对外购或外协的零部件的质量和技术性能负全部责任。</w:t>
      </w:r>
    </w:p>
    <w:p>
      <w:pPr>
        <w:spacing w:line="400" w:lineRule="exact"/>
        <w:ind w:left="1" w:right="-224" w:rightChars="-112" w:firstLine="480" w:firstLineChars="200"/>
        <w:rPr>
          <w:rFonts w:ascii="宋体" w:hAnsi="宋体"/>
          <w:sz w:val="24"/>
        </w:rPr>
      </w:pPr>
      <w:r>
        <w:rPr>
          <w:rFonts w:hint="eastAsia" w:ascii="宋体" w:hAnsi="宋体"/>
          <w:sz w:val="24"/>
        </w:rPr>
        <w:t>4</w:t>
      </w:r>
      <w:r>
        <w:rPr>
          <w:rFonts w:hint="default" w:ascii="宋体" w:hAnsi="宋体"/>
          <w:sz w:val="24"/>
        </w:rPr>
        <w:t>.</w:t>
      </w:r>
      <w:r>
        <w:rPr>
          <w:rFonts w:hint="eastAsia" w:ascii="宋体" w:hAnsi="宋体"/>
          <w:sz w:val="24"/>
          <w:lang w:eastAsia="zh-CN"/>
        </w:rPr>
        <w:t>供应商</w:t>
      </w:r>
      <w:r>
        <w:rPr>
          <w:rFonts w:hint="eastAsia" w:ascii="宋体" w:hAnsi="宋体"/>
          <w:sz w:val="24"/>
        </w:rPr>
        <w:t>保证所提供的设备在正确安装、正常使用和维护保养的情况下，具有使</w:t>
      </w:r>
      <w:r>
        <w:rPr>
          <w:rFonts w:hint="eastAsia" w:ascii="宋体" w:hAnsi="宋体"/>
          <w:sz w:val="24"/>
          <w:lang w:eastAsia="zh-CN"/>
        </w:rPr>
        <w:t>采购方</w:t>
      </w:r>
      <w:r>
        <w:rPr>
          <w:rFonts w:hint="eastAsia" w:ascii="宋体" w:hAnsi="宋体"/>
          <w:sz w:val="24"/>
        </w:rPr>
        <w:t>满意的使用性能和使用寿命。</w:t>
      </w:r>
    </w:p>
    <w:p>
      <w:pPr>
        <w:spacing w:line="400" w:lineRule="exact"/>
        <w:ind w:left="1" w:right="-224" w:rightChars="-112" w:firstLine="472" w:firstLineChars="196"/>
        <w:rPr>
          <w:rFonts w:ascii="宋体" w:hAnsi="宋体"/>
          <w:b/>
          <w:sz w:val="24"/>
        </w:rPr>
      </w:pPr>
      <w:r>
        <w:rPr>
          <w:rFonts w:hint="eastAsia" w:ascii="宋体" w:hAnsi="宋体"/>
          <w:b/>
          <w:sz w:val="24"/>
        </w:rPr>
        <w:t>七、付款方式</w:t>
      </w:r>
    </w:p>
    <w:p>
      <w:pPr>
        <w:numPr>
          <w:ilvl w:val="-1"/>
          <w:numId w:val="0"/>
        </w:numPr>
        <w:spacing w:line="360" w:lineRule="auto"/>
        <w:ind w:firstLine="482" w:firstLineChars="200"/>
        <w:rPr>
          <w:color w:val="auto"/>
        </w:rPr>
      </w:pPr>
      <w:r>
        <w:rPr>
          <w:rFonts w:hint="eastAsia" w:ascii="宋体" w:hAnsi="宋体" w:cs="宋体"/>
          <w:b/>
          <w:bCs/>
          <w:color w:val="auto"/>
          <w:sz w:val="24"/>
          <w:szCs w:val="24"/>
          <w:highlight w:val="none"/>
          <w:lang w:val="en-US" w:eastAsia="zh-CN"/>
        </w:rPr>
        <w:t>1</w:t>
      </w:r>
      <w:r>
        <w:rPr>
          <w:rFonts w:hint="default" w:ascii="宋体" w:hAnsi="宋体" w:cs="宋体"/>
          <w:b/>
          <w:bCs/>
          <w:color w:val="auto"/>
          <w:sz w:val="24"/>
          <w:szCs w:val="24"/>
          <w:highlight w:val="none"/>
          <w:lang w:eastAsia="zh-CN"/>
        </w:rPr>
        <w:t>.</w:t>
      </w:r>
      <w:r>
        <w:rPr>
          <w:rFonts w:hint="eastAsia" w:ascii="宋体" w:hAnsi="宋体" w:cs="宋体"/>
          <w:b/>
          <w:bCs/>
          <w:color w:val="auto"/>
          <w:sz w:val="24"/>
          <w:szCs w:val="24"/>
          <w:highlight w:val="none"/>
        </w:rPr>
        <w:t>中标人在收到中标通知书后，需向采购人提供合同总价1%的履约保证金；在完成全部供货并提交全部资料并通过验收合格后退还（不计息）</w:t>
      </w:r>
      <w:r>
        <w:rPr>
          <w:rFonts w:hint="eastAsia" w:ascii="宋体" w:hAnsi="宋体"/>
          <w:color w:val="auto"/>
          <w:sz w:val="24"/>
          <w:szCs w:val="24"/>
        </w:rPr>
        <w:t>，</w:t>
      </w:r>
      <w:r>
        <w:rPr>
          <w:rFonts w:hint="default" w:ascii="宋体" w:hAnsi="宋体"/>
          <w:color w:val="auto"/>
          <w:sz w:val="24"/>
          <w:szCs w:val="24"/>
        </w:rPr>
        <w:t>中标人</w:t>
      </w:r>
      <w:r>
        <w:rPr>
          <w:rFonts w:hint="eastAsia" w:ascii="宋体" w:hAnsi="宋体"/>
          <w:color w:val="auto"/>
          <w:sz w:val="24"/>
          <w:szCs w:val="24"/>
        </w:rPr>
        <w:t>以保函形式提交履约担保的，保函自动失效（由于中标人引起的工期延误的，则履约担保有效期顺延）</w:t>
      </w:r>
      <w:r>
        <w:rPr>
          <w:rFonts w:hint="eastAsia" w:ascii="宋体" w:hAnsi="宋体" w:cs="宋体"/>
          <w:b/>
          <w:bCs/>
          <w:color w:val="auto"/>
          <w:sz w:val="24"/>
          <w:szCs w:val="24"/>
          <w:highlight w:val="none"/>
        </w:rPr>
        <w:t>。</w:t>
      </w:r>
    </w:p>
    <w:p>
      <w:pPr>
        <w:spacing w:line="360" w:lineRule="auto"/>
        <w:ind w:firstLine="482" w:firstLineChars="200"/>
        <w:rPr>
          <w:rFonts w:hint="eastAsia"/>
          <w:color w:val="auto"/>
          <w:sz w:val="24"/>
          <w:szCs w:val="24"/>
          <w:highlight w:val="none"/>
        </w:rPr>
      </w:pPr>
      <w:r>
        <w:rPr>
          <w:rFonts w:hint="eastAsia" w:ascii="宋体" w:hAnsi="宋体" w:cs="宋体"/>
          <w:b/>
          <w:bCs/>
          <w:color w:val="auto"/>
          <w:sz w:val="24"/>
          <w:szCs w:val="24"/>
          <w:highlight w:val="none"/>
          <w:lang w:val="en-US" w:eastAsia="zh-CN"/>
        </w:rPr>
        <w:t>2</w:t>
      </w:r>
      <w:r>
        <w:rPr>
          <w:rFonts w:hint="default" w:ascii="宋体" w:hAnsi="宋体" w:cs="宋体"/>
          <w:b/>
          <w:bCs/>
          <w:color w:val="auto"/>
          <w:sz w:val="24"/>
          <w:szCs w:val="24"/>
          <w:highlight w:val="none"/>
          <w:lang w:eastAsia="zh-CN"/>
        </w:rPr>
        <w:t>.</w:t>
      </w:r>
      <w:r>
        <w:rPr>
          <w:rFonts w:hint="eastAsia" w:ascii="宋体" w:hAnsi="宋体" w:cs="宋体"/>
          <w:b/>
          <w:bCs/>
          <w:color w:val="auto"/>
          <w:sz w:val="24"/>
          <w:szCs w:val="24"/>
          <w:highlight w:val="none"/>
        </w:rPr>
        <w:t>验收合格</w:t>
      </w:r>
      <w:r>
        <w:rPr>
          <w:rFonts w:hint="eastAsia" w:ascii="宋体" w:hAnsi="宋体" w:cs="宋体"/>
          <w:b/>
          <w:bCs/>
          <w:color w:val="auto"/>
          <w:sz w:val="24"/>
          <w:szCs w:val="24"/>
          <w:highlight w:val="none"/>
          <w:lang w:eastAsia="zh-CN"/>
        </w:rPr>
        <w:t>后</w:t>
      </w:r>
      <w:r>
        <w:rPr>
          <w:rFonts w:hint="eastAsia" w:ascii="宋体" w:hAnsi="宋体" w:cs="宋体"/>
          <w:b/>
          <w:bCs/>
          <w:color w:val="auto"/>
          <w:sz w:val="24"/>
          <w:szCs w:val="24"/>
          <w:highlight w:val="none"/>
        </w:rPr>
        <w:t>支付至</w:t>
      </w:r>
      <w:r>
        <w:rPr>
          <w:rFonts w:hint="eastAsia" w:ascii="宋体" w:hAnsi="宋体" w:cs="宋体"/>
          <w:b/>
          <w:bCs/>
          <w:color w:val="auto"/>
          <w:sz w:val="24"/>
          <w:szCs w:val="24"/>
          <w:highlight w:val="none"/>
          <w:lang w:eastAsia="zh-CN"/>
        </w:rPr>
        <w:t>合同价</w:t>
      </w:r>
      <w:r>
        <w:rPr>
          <w:rFonts w:hint="eastAsia" w:ascii="宋体" w:hAnsi="宋体" w:cs="宋体"/>
          <w:b/>
          <w:bCs/>
          <w:color w:val="auto"/>
          <w:sz w:val="24"/>
          <w:szCs w:val="24"/>
          <w:highlight w:val="none"/>
        </w:rPr>
        <w:t>的9</w:t>
      </w:r>
      <w:r>
        <w:rPr>
          <w:rFonts w:hint="eastAsia" w:ascii="宋体" w:hAnsi="宋体" w:cs="宋体"/>
          <w:b/>
          <w:bCs/>
          <w:color w:val="auto"/>
          <w:sz w:val="24"/>
          <w:szCs w:val="24"/>
          <w:highlight w:val="none"/>
          <w:lang w:val="en-US" w:eastAsia="zh-CN"/>
        </w:rPr>
        <w:t>7</w:t>
      </w:r>
      <w:r>
        <w:rPr>
          <w:rFonts w:hint="eastAsia" w:ascii="宋体" w:hAnsi="宋体" w:cs="宋体"/>
          <w:b/>
          <w:bCs/>
          <w:color w:val="auto"/>
          <w:sz w:val="24"/>
          <w:szCs w:val="24"/>
          <w:highlight w:val="none"/>
        </w:rPr>
        <w:t>%，同时提供税率为13%的全额增值税专用发票；剩余的</w:t>
      </w:r>
      <w:r>
        <w:rPr>
          <w:rFonts w:hint="eastAsia" w:ascii="宋体" w:hAnsi="宋体" w:cs="宋体"/>
          <w:b/>
          <w:bCs/>
          <w:color w:val="auto"/>
          <w:sz w:val="24"/>
          <w:szCs w:val="24"/>
          <w:highlight w:val="none"/>
          <w:lang w:val="en-US" w:eastAsia="zh-CN"/>
        </w:rPr>
        <w:t>3</w:t>
      </w:r>
      <w:r>
        <w:rPr>
          <w:rFonts w:hint="eastAsia" w:ascii="宋体" w:hAnsi="宋体" w:cs="宋体"/>
          <w:b/>
          <w:bCs/>
          <w:color w:val="auto"/>
          <w:sz w:val="24"/>
          <w:szCs w:val="24"/>
          <w:highlight w:val="none"/>
        </w:rPr>
        <w:t>%在质保期满后支付。</w:t>
      </w:r>
    </w:p>
    <w:p>
      <w:pPr>
        <w:spacing w:line="400" w:lineRule="exact"/>
        <w:ind w:left="1" w:right="-224" w:rightChars="-112" w:firstLine="472" w:firstLineChars="196"/>
        <w:rPr>
          <w:rFonts w:hint="eastAsia" w:ascii="宋体" w:hAnsi="宋体" w:eastAsia="宋体"/>
          <w:b/>
          <w:sz w:val="24"/>
        </w:rPr>
      </w:pPr>
      <w:r>
        <w:rPr>
          <w:rFonts w:hint="eastAsia" w:ascii="宋体" w:hAnsi="宋体" w:eastAsia="宋体"/>
          <w:b/>
          <w:sz w:val="24"/>
          <w:lang w:eastAsia="zh-CN"/>
        </w:rPr>
        <w:t>八</w:t>
      </w:r>
      <w:r>
        <w:rPr>
          <w:rFonts w:hint="eastAsia" w:ascii="宋体" w:hAnsi="宋体" w:eastAsia="宋体"/>
          <w:b/>
          <w:sz w:val="24"/>
        </w:rPr>
        <w:t>、安装与验收</w:t>
      </w:r>
    </w:p>
    <w:p>
      <w:pPr>
        <w:spacing w:line="400" w:lineRule="exact"/>
        <w:ind w:left="1" w:right="-224" w:rightChars="-112" w:firstLine="480" w:firstLineChars="200"/>
        <w:rPr>
          <w:rFonts w:hint="eastAsia" w:ascii="宋体" w:hAnsi="宋体" w:eastAsia="宋体"/>
          <w:sz w:val="24"/>
        </w:rPr>
      </w:pPr>
      <w:r>
        <w:rPr>
          <w:rFonts w:hint="eastAsia" w:ascii="宋体" w:hAnsi="宋体" w:eastAsia="宋体"/>
          <w:sz w:val="24"/>
        </w:rPr>
        <w:t>1</w:t>
      </w:r>
      <w:r>
        <w:rPr>
          <w:rFonts w:hint="default" w:ascii="宋体" w:hAnsi="宋体"/>
          <w:sz w:val="24"/>
        </w:rPr>
        <w:t>.</w:t>
      </w:r>
      <w:r>
        <w:rPr>
          <w:rFonts w:hint="eastAsia" w:ascii="宋体" w:hAnsi="宋体" w:eastAsia="宋体"/>
          <w:sz w:val="24"/>
        </w:rPr>
        <w:t>到货验收：货物运抵</w:t>
      </w:r>
      <w:r>
        <w:rPr>
          <w:rFonts w:hint="eastAsia" w:ascii="宋体" w:hAnsi="宋体"/>
          <w:sz w:val="24"/>
          <w:lang w:eastAsia="zh-CN"/>
        </w:rPr>
        <w:t>采购方</w:t>
      </w:r>
      <w:r>
        <w:rPr>
          <w:rFonts w:hint="eastAsia" w:ascii="宋体" w:hAnsi="宋体" w:eastAsia="宋体"/>
          <w:sz w:val="24"/>
        </w:rPr>
        <w:t>指定地点后，</w:t>
      </w:r>
      <w:r>
        <w:rPr>
          <w:rFonts w:hint="eastAsia" w:ascii="宋体" w:hAnsi="宋体"/>
          <w:sz w:val="24"/>
          <w:lang w:eastAsia="zh-CN"/>
        </w:rPr>
        <w:t>采购方</w:t>
      </w:r>
      <w:r>
        <w:rPr>
          <w:rFonts w:hint="eastAsia" w:ascii="宋体" w:hAnsi="宋体" w:eastAsia="宋体"/>
          <w:sz w:val="24"/>
        </w:rPr>
        <w:t>应依据本合同及询价文件上的技术规格要求和国家有关质量标准及时进行验收。如发生所供货物与合同约定不符，</w:t>
      </w:r>
      <w:r>
        <w:rPr>
          <w:rFonts w:hint="eastAsia" w:ascii="宋体" w:hAnsi="宋体"/>
          <w:sz w:val="24"/>
          <w:lang w:eastAsia="zh-CN"/>
        </w:rPr>
        <w:t>采购方</w:t>
      </w:r>
      <w:r>
        <w:rPr>
          <w:rFonts w:hint="eastAsia" w:ascii="宋体" w:hAnsi="宋体" w:eastAsia="宋体"/>
          <w:sz w:val="24"/>
        </w:rPr>
        <w:t>有权退货或要求</w:t>
      </w:r>
      <w:r>
        <w:rPr>
          <w:rFonts w:hint="eastAsia" w:ascii="宋体" w:hAnsi="宋体"/>
          <w:sz w:val="24"/>
          <w:lang w:eastAsia="zh-CN"/>
        </w:rPr>
        <w:t>供应商</w:t>
      </w:r>
      <w:r>
        <w:rPr>
          <w:rFonts w:hint="eastAsia" w:ascii="宋体" w:hAnsi="宋体" w:eastAsia="宋体"/>
          <w:sz w:val="24"/>
        </w:rPr>
        <w:t>进行更换、补齐，因此造成逾期交货的，</w:t>
      </w:r>
      <w:r>
        <w:rPr>
          <w:rFonts w:hint="eastAsia" w:ascii="宋体" w:hAnsi="宋体"/>
          <w:sz w:val="24"/>
          <w:lang w:eastAsia="zh-CN"/>
        </w:rPr>
        <w:t>供应商</w:t>
      </w:r>
      <w:r>
        <w:rPr>
          <w:rFonts w:hint="eastAsia" w:ascii="宋体" w:hAnsi="宋体" w:eastAsia="宋体"/>
          <w:sz w:val="24"/>
        </w:rPr>
        <w:t>应承担逾期交货的违约责任。</w:t>
      </w:r>
      <w:r>
        <w:rPr>
          <w:rFonts w:hint="eastAsia" w:ascii="宋体" w:hAnsi="宋体"/>
          <w:sz w:val="24"/>
          <w:lang w:eastAsia="zh-CN"/>
        </w:rPr>
        <w:t>供应商</w:t>
      </w:r>
      <w:r>
        <w:rPr>
          <w:rFonts w:hint="eastAsia" w:ascii="宋体" w:hAnsi="宋体" w:eastAsia="宋体"/>
          <w:sz w:val="24"/>
        </w:rPr>
        <w:t>应在接到</w:t>
      </w:r>
      <w:r>
        <w:rPr>
          <w:rFonts w:hint="eastAsia" w:ascii="宋体" w:hAnsi="宋体"/>
          <w:sz w:val="24"/>
          <w:lang w:eastAsia="zh-CN"/>
        </w:rPr>
        <w:t>采购方</w:t>
      </w:r>
      <w:r>
        <w:rPr>
          <w:rFonts w:hint="eastAsia" w:ascii="宋体" w:hAnsi="宋体" w:eastAsia="宋体"/>
          <w:sz w:val="24"/>
        </w:rPr>
        <w:t>要求后7日内予以补救，所产生的费用及法律后果由</w:t>
      </w:r>
      <w:r>
        <w:rPr>
          <w:rFonts w:hint="eastAsia" w:ascii="宋体" w:hAnsi="宋体"/>
          <w:sz w:val="24"/>
          <w:lang w:eastAsia="zh-CN"/>
        </w:rPr>
        <w:t>供应商</w:t>
      </w:r>
      <w:r>
        <w:rPr>
          <w:rFonts w:hint="eastAsia" w:ascii="宋体" w:hAnsi="宋体" w:eastAsia="宋体"/>
          <w:sz w:val="24"/>
        </w:rPr>
        <w:t>承担。</w:t>
      </w:r>
    </w:p>
    <w:p>
      <w:pPr>
        <w:spacing w:line="400" w:lineRule="exact"/>
        <w:ind w:left="1" w:right="-224" w:rightChars="-112" w:firstLine="480" w:firstLineChars="200"/>
        <w:rPr>
          <w:rFonts w:hint="eastAsia" w:ascii="宋体" w:hAnsi="宋体" w:eastAsia="宋体"/>
          <w:sz w:val="24"/>
        </w:rPr>
      </w:pPr>
      <w:r>
        <w:rPr>
          <w:rFonts w:hint="eastAsia" w:ascii="宋体" w:hAnsi="宋体" w:eastAsia="宋体"/>
          <w:sz w:val="24"/>
        </w:rPr>
        <w:t>2</w:t>
      </w:r>
      <w:r>
        <w:rPr>
          <w:rFonts w:hint="default" w:ascii="宋体" w:hAnsi="宋体"/>
          <w:sz w:val="24"/>
        </w:rPr>
        <w:t>.</w:t>
      </w:r>
      <w:r>
        <w:rPr>
          <w:rFonts w:hint="eastAsia" w:ascii="宋体" w:hAnsi="宋体" w:eastAsia="宋体"/>
          <w:sz w:val="24"/>
        </w:rPr>
        <w:t>安装调试：</w:t>
      </w:r>
      <w:r>
        <w:rPr>
          <w:rFonts w:hint="eastAsia" w:ascii="宋体" w:hAnsi="宋体"/>
          <w:sz w:val="24"/>
          <w:lang w:eastAsia="zh-CN"/>
        </w:rPr>
        <w:t>采购方</w:t>
      </w:r>
      <w:r>
        <w:rPr>
          <w:rFonts w:hint="eastAsia" w:ascii="宋体" w:hAnsi="宋体" w:eastAsia="宋体"/>
          <w:sz w:val="24"/>
        </w:rPr>
        <w:t>对</w:t>
      </w:r>
      <w:r>
        <w:rPr>
          <w:rFonts w:hint="eastAsia" w:ascii="宋体" w:hAnsi="宋体"/>
          <w:sz w:val="24"/>
          <w:lang w:eastAsia="zh-CN"/>
        </w:rPr>
        <w:t>供应商</w:t>
      </w:r>
      <w:r>
        <w:rPr>
          <w:rFonts w:hint="eastAsia" w:ascii="宋体" w:hAnsi="宋体" w:eastAsia="宋体"/>
          <w:sz w:val="24"/>
        </w:rPr>
        <w:t>提供的货物在使用前进行调试时，</w:t>
      </w:r>
      <w:r>
        <w:rPr>
          <w:rFonts w:hint="eastAsia" w:ascii="宋体" w:hAnsi="宋体"/>
          <w:sz w:val="24"/>
          <w:lang w:eastAsia="zh-CN"/>
        </w:rPr>
        <w:t>供应商</w:t>
      </w:r>
      <w:r>
        <w:rPr>
          <w:rFonts w:hint="eastAsia" w:ascii="宋体" w:hAnsi="宋体" w:eastAsia="宋体"/>
          <w:sz w:val="24"/>
        </w:rPr>
        <w:t>需在</w:t>
      </w:r>
      <w:r>
        <w:rPr>
          <w:rFonts w:hint="eastAsia" w:ascii="宋体" w:hAnsi="宋体"/>
          <w:sz w:val="24"/>
          <w:lang w:eastAsia="zh-CN"/>
        </w:rPr>
        <w:t>采购方</w:t>
      </w:r>
      <w:r>
        <w:rPr>
          <w:rFonts w:hint="eastAsia" w:ascii="宋体" w:hAnsi="宋体" w:eastAsia="宋体"/>
          <w:sz w:val="24"/>
        </w:rPr>
        <w:t>指定时间内负责安装并培训</w:t>
      </w:r>
      <w:r>
        <w:rPr>
          <w:rFonts w:hint="eastAsia" w:ascii="宋体" w:hAnsi="宋体"/>
          <w:sz w:val="24"/>
          <w:lang w:eastAsia="zh-CN"/>
        </w:rPr>
        <w:t>采购方</w:t>
      </w:r>
      <w:r>
        <w:rPr>
          <w:rFonts w:hint="eastAsia" w:ascii="宋体" w:hAnsi="宋体" w:eastAsia="宋体"/>
          <w:sz w:val="24"/>
        </w:rPr>
        <w:t>的使用操作人员，并协助</w:t>
      </w:r>
      <w:r>
        <w:rPr>
          <w:rFonts w:hint="eastAsia" w:ascii="宋体" w:hAnsi="宋体"/>
          <w:sz w:val="24"/>
          <w:lang w:eastAsia="zh-CN"/>
        </w:rPr>
        <w:t>采购方</w:t>
      </w:r>
      <w:r>
        <w:rPr>
          <w:rFonts w:hint="eastAsia" w:ascii="宋体" w:hAnsi="宋体" w:eastAsia="宋体"/>
          <w:sz w:val="24"/>
        </w:rPr>
        <w:t>一起调试，直到符合技术要求。安装调试所需的专用工具、备品备件以及合同规定的其他事项由</w:t>
      </w:r>
      <w:r>
        <w:rPr>
          <w:rFonts w:hint="eastAsia" w:ascii="宋体" w:hAnsi="宋体"/>
          <w:sz w:val="24"/>
          <w:lang w:eastAsia="zh-CN"/>
        </w:rPr>
        <w:t>供应商</w:t>
      </w:r>
      <w:r>
        <w:rPr>
          <w:rFonts w:hint="eastAsia" w:ascii="宋体" w:hAnsi="宋体" w:eastAsia="宋体"/>
          <w:sz w:val="24"/>
        </w:rPr>
        <w:t>提供。</w:t>
      </w:r>
    </w:p>
    <w:p>
      <w:pPr>
        <w:spacing w:line="400" w:lineRule="exact"/>
        <w:ind w:left="1" w:right="-224" w:rightChars="-112" w:firstLine="480" w:firstLineChars="200"/>
        <w:rPr>
          <w:rFonts w:hint="eastAsia" w:ascii="宋体" w:hAnsi="宋体" w:eastAsia="宋体"/>
          <w:sz w:val="24"/>
        </w:rPr>
      </w:pPr>
      <w:r>
        <w:rPr>
          <w:rFonts w:hint="eastAsia" w:ascii="宋体" w:hAnsi="宋体" w:eastAsia="宋体"/>
          <w:sz w:val="24"/>
        </w:rPr>
        <w:t>安装调试过程中，</w:t>
      </w:r>
      <w:r>
        <w:rPr>
          <w:rFonts w:hint="eastAsia" w:ascii="宋体" w:hAnsi="宋体"/>
          <w:sz w:val="24"/>
          <w:lang w:eastAsia="zh-CN"/>
        </w:rPr>
        <w:t>供应商</w:t>
      </w:r>
      <w:r>
        <w:rPr>
          <w:rFonts w:hint="eastAsia" w:ascii="宋体" w:hAnsi="宋体" w:eastAsia="宋体"/>
          <w:sz w:val="24"/>
        </w:rPr>
        <w:t>应采取安全保障措施，保证人员安全。如因</w:t>
      </w:r>
      <w:r>
        <w:rPr>
          <w:rFonts w:hint="eastAsia" w:ascii="宋体" w:hAnsi="宋体"/>
          <w:sz w:val="24"/>
          <w:lang w:eastAsia="zh-CN"/>
        </w:rPr>
        <w:t>供应商</w:t>
      </w:r>
      <w:r>
        <w:rPr>
          <w:rFonts w:hint="eastAsia" w:ascii="宋体" w:hAnsi="宋体" w:eastAsia="宋体"/>
          <w:sz w:val="24"/>
        </w:rPr>
        <w:t>原因造成人员伤亡和财产损失的，</w:t>
      </w:r>
      <w:r>
        <w:rPr>
          <w:rFonts w:hint="eastAsia" w:ascii="宋体" w:hAnsi="宋体"/>
          <w:sz w:val="24"/>
          <w:lang w:eastAsia="zh-CN"/>
        </w:rPr>
        <w:t>供应商</w:t>
      </w:r>
      <w:r>
        <w:rPr>
          <w:rFonts w:hint="eastAsia" w:ascii="宋体" w:hAnsi="宋体" w:eastAsia="宋体"/>
          <w:sz w:val="24"/>
        </w:rPr>
        <w:t>应承担全部赔偿责任。</w:t>
      </w:r>
    </w:p>
    <w:p>
      <w:pPr>
        <w:spacing w:line="400" w:lineRule="exact"/>
        <w:ind w:left="1" w:right="-224" w:rightChars="-112" w:firstLine="480" w:firstLineChars="200"/>
        <w:rPr>
          <w:rFonts w:hint="eastAsia" w:ascii="宋体" w:hAnsi="宋体" w:eastAsia="宋体"/>
          <w:sz w:val="24"/>
        </w:rPr>
      </w:pPr>
      <w:r>
        <w:rPr>
          <w:rFonts w:hint="eastAsia" w:ascii="宋体" w:hAnsi="宋体" w:eastAsia="宋体"/>
          <w:sz w:val="24"/>
        </w:rPr>
        <w:t>3</w:t>
      </w:r>
      <w:r>
        <w:rPr>
          <w:rFonts w:hint="default" w:ascii="宋体" w:hAnsi="宋体"/>
          <w:sz w:val="24"/>
        </w:rPr>
        <w:t>.</w:t>
      </w:r>
      <w:r>
        <w:rPr>
          <w:rFonts w:hint="eastAsia" w:ascii="宋体" w:hAnsi="宋体" w:eastAsia="宋体"/>
          <w:sz w:val="24"/>
        </w:rPr>
        <w:t>最终验收：货物经安装调试完成且符合技术要求后，</w:t>
      </w:r>
      <w:r>
        <w:rPr>
          <w:rFonts w:hint="eastAsia" w:ascii="宋体" w:hAnsi="宋体"/>
          <w:sz w:val="24"/>
          <w:lang w:eastAsia="zh-CN"/>
        </w:rPr>
        <w:t>采购方</w:t>
      </w:r>
      <w:r>
        <w:rPr>
          <w:rFonts w:hint="eastAsia" w:ascii="宋体" w:hAnsi="宋体" w:eastAsia="宋体"/>
          <w:sz w:val="24"/>
        </w:rPr>
        <w:t>进行最终验收。验收时</w:t>
      </w:r>
      <w:r>
        <w:rPr>
          <w:rFonts w:hint="eastAsia" w:ascii="宋体" w:hAnsi="宋体"/>
          <w:sz w:val="24"/>
          <w:lang w:eastAsia="zh-CN"/>
        </w:rPr>
        <w:t>供应商</w:t>
      </w:r>
      <w:r>
        <w:rPr>
          <w:rFonts w:hint="eastAsia" w:ascii="宋体" w:hAnsi="宋体" w:eastAsia="宋体"/>
          <w:sz w:val="24"/>
        </w:rPr>
        <w:t>必须在现场货物符合合同约定的技术规范要求和验收标准的，</w:t>
      </w:r>
      <w:r>
        <w:rPr>
          <w:rFonts w:hint="eastAsia" w:ascii="宋体" w:hAnsi="宋体"/>
          <w:sz w:val="24"/>
          <w:lang w:eastAsia="zh-CN"/>
        </w:rPr>
        <w:t>采购方</w:t>
      </w:r>
      <w:r>
        <w:rPr>
          <w:rFonts w:hint="eastAsia" w:ascii="宋体" w:hAnsi="宋体" w:eastAsia="宋体"/>
          <w:sz w:val="24"/>
        </w:rPr>
        <w:t>签署验收合格证明。如货物不符合合同约定的要求的，</w:t>
      </w:r>
      <w:r>
        <w:rPr>
          <w:rFonts w:hint="eastAsia" w:ascii="宋体" w:hAnsi="宋体"/>
          <w:sz w:val="24"/>
          <w:lang w:eastAsia="zh-CN"/>
        </w:rPr>
        <w:t>供应商</w:t>
      </w:r>
      <w:r>
        <w:rPr>
          <w:rFonts w:hint="eastAsia" w:ascii="宋体" w:hAnsi="宋体" w:eastAsia="宋体"/>
          <w:sz w:val="24"/>
        </w:rPr>
        <w:t>应当在7日内采取措施消除缺陷后重新申请终验，并承担由此产生的费用。</w:t>
      </w:r>
    </w:p>
    <w:p>
      <w:pPr>
        <w:spacing w:line="400" w:lineRule="exact"/>
        <w:ind w:left="1" w:right="-224" w:rightChars="-112" w:firstLine="480" w:firstLineChars="200"/>
        <w:rPr>
          <w:rFonts w:hint="eastAsia" w:ascii="宋体" w:hAnsi="宋体" w:eastAsia="宋体"/>
          <w:sz w:val="24"/>
        </w:rPr>
      </w:pPr>
      <w:r>
        <w:rPr>
          <w:rFonts w:hint="eastAsia" w:ascii="宋体" w:hAnsi="宋体" w:eastAsia="宋体"/>
          <w:sz w:val="24"/>
        </w:rPr>
        <w:t>4</w:t>
      </w:r>
      <w:r>
        <w:rPr>
          <w:rFonts w:hint="default" w:ascii="宋体" w:hAnsi="宋体"/>
          <w:sz w:val="24"/>
        </w:rPr>
        <w:t>.</w:t>
      </w:r>
      <w:r>
        <w:rPr>
          <w:rFonts w:hint="eastAsia" w:ascii="宋体" w:hAnsi="宋体" w:eastAsia="宋体"/>
          <w:sz w:val="24"/>
        </w:rPr>
        <w:t>对技术复杂的货物，</w:t>
      </w:r>
      <w:r>
        <w:rPr>
          <w:rFonts w:hint="eastAsia" w:ascii="宋体" w:hAnsi="宋体"/>
          <w:sz w:val="24"/>
          <w:lang w:eastAsia="zh-CN"/>
        </w:rPr>
        <w:t>采购方</w:t>
      </w:r>
      <w:r>
        <w:rPr>
          <w:rFonts w:hint="eastAsia" w:ascii="宋体" w:hAnsi="宋体" w:eastAsia="宋体"/>
          <w:sz w:val="24"/>
        </w:rPr>
        <w:t>可请国家认可的专业检测机构参与验收，并由其出具质量检测报告，检测费用由双方承担。</w:t>
      </w:r>
    </w:p>
    <w:p>
      <w:pPr>
        <w:spacing w:line="400" w:lineRule="exact"/>
        <w:ind w:left="1" w:right="-224" w:rightChars="-112" w:firstLine="480" w:firstLineChars="200"/>
        <w:rPr>
          <w:rFonts w:hint="eastAsia" w:ascii="宋体" w:hAnsi="宋体" w:eastAsia="宋体"/>
          <w:sz w:val="24"/>
        </w:rPr>
      </w:pPr>
      <w:r>
        <w:rPr>
          <w:rFonts w:hint="eastAsia" w:ascii="宋体" w:hAnsi="宋体" w:eastAsia="宋体"/>
          <w:sz w:val="24"/>
        </w:rPr>
        <w:t>5</w:t>
      </w:r>
      <w:r>
        <w:rPr>
          <w:rFonts w:hint="default" w:ascii="宋体" w:hAnsi="宋体"/>
          <w:sz w:val="24"/>
        </w:rPr>
        <w:t>.</w:t>
      </w:r>
      <w:r>
        <w:rPr>
          <w:rFonts w:hint="eastAsia" w:ascii="宋体" w:hAnsi="宋体" w:eastAsia="宋体"/>
          <w:sz w:val="24"/>
        </w:rPr>
        <w:t>货物毁损、灭失的风险，自货物最终验收合格之日起由</w:t>
      </w:r>
      <w:r>
        <w:rPr>
          <w:rFonts w:hint="eastAsia" w:ascii="宋体" w:hAnsi="宋体"/>
          <w:sz w:val="24"/>
          <w:lang w:eastAsia="zh-CN"/>
        </w:rPr>
        <w:t>采购方</w:t>
      </w:r>
      <w:r>
        <w:rPr>
          <w:rFonts w:hint="eastAsia" w:ascii="宋体" w:hAnsi="宋体" w:eastAsia="宋体"/>
          <w:sz w:val="24"/>
        </w:rPr>
        <w:t>承担。</w:t>
      </w:r>
    </w:p>
    <w:p>
      <w:pPr>
        <w:spacing w:line="400" w:lineRule="exact"/>
        <w:ind w:left="1" w:right="-224" w:rightChars="-112" w:firstLine="472" w:firstLineChars="196"/>
        <w:rPr>
          <w:rFonts w:hint="eastAsia" w:ascii="宋体" w:hAnsi="宋体" w:eastAsia="宋体"/>
          <w:b/>
          <w:sz w:val="24"/>
          <w:lang w:eastAsia="zh-CN"/>
        </w:rPr>
      </w:pPr>
      <w:r>
        <w:rPr>
          <w:rFonts w:hint="eastAsia" w:ascii="宋体" w:hAnsi="宋体" w:eastAsia="宋体"/>
          <w:b/>
          <w:sz w:val="24"/>
          <w:lang w:eastAsia="zh-CN"/>
        </w:rPr>
        <w:t>九、保修与售后服务</w:t>
      </w:r>
    </w:p>
    <w:p>
      <w:pPr>
        <w:spacing w:line="400" w:lineRule="exact"/>
        <w:ind w:left="1" w:right="-224" w:rightChars="-112" w:firstLine="480" w:firstLineChars="200"/>
        <w:rPr>
          <w:rFonts w:hint="eastAsia" w:ascii="宋体" w:hAnsi="宋体" w:eastAsia="宋体"/>
          <w:color w:val="auto"/>
          <w:sz w:val="24"/>
          <w:highlight w:val="none"/>
        </w:rPr>
      </w:pPr>
      <w:r>
        <w:rPr>
          <w:rFonts w:hint="eastAsia" w:ascii="宋体" w:hAnsi="宋体" w:eastAsia="宋体"/>
          <w:sz w:val="24"/>
        </w:rPr>
        <w:t>1</w:t>
      </w:r>
      <w:r>
        <w:rPr>
          <w:rFonts w:hint="default" w:ascii="宋体" w:hAnsi="宋体"/>
          <w:sz w:val="24"/>
        </w:rPr>
        <w:t>.</w:t>
      </w:r>
      <w:r>
        <w:rPr>
          <w:rFonts w:hint="eastAsia" w:ascii="宋体" w:hAnsi="宋体" w:eastAsia="宋体"/>
          <w:sz w:val="24"/>
        </w:rPr>
        <w:t>质保期为</w:t>
      </w:r>
      <w:r>
        <w:rPr>
          <w:rFonts w:hint="eastAsia" w:ascii="宋体" w:hAnsi="宋体" w:eastAsia="宋体"/>
          <w:color w:val="auto"/>
          <w:sz w:val="24"/>
          <w:u w:val="single"/>
          <w:lang w:val="en-US" w:eastAsia="zh-CN"/>
        </w:rPr>
        <w:t xml:space="preserve"> </w:t>
      </w:r>
      <w:r>
        <w:rPr>
          <w:rFonts w:hint="eastAsia" w:ascii="宋体" w:hAnsi="宋体" w:eastAsia="宋体"/>
          <w:color w:val="auto"/>
          <w:sz w:val="24"/>
          <w:u w:val="single"/>
        </w:rPr>
        <w:t>2</w:t>
      </w:r>
      <w:r>
        <w:rPr>
          <w:rFonts w:hint="eastAsia" w:ascii="宋体" w:hAnsi="宋体" w:eastAsia="宋体"/>
          <w:color w:val="auto"/>
          <w:sz w:val="24"/>
        </w:rPr>
        <w:t>年，</w:t>
      </w:r>
      <w:r>
        <w:rPr>
          <w:rFonts w:hint="eastAsia" w:ascii="宋体" w:hAnsi="宋体" w:eastAsia="宋体"/>
          <w:color w:val="auto"/>
          <w:sz w:val="24"/>
          <w:highlight w:val="none"/>
        </w:rPr>
        <w:t>自货物</w:t>
      </w:r>
      <w:r>
        <w:rPr>
          <w:rFonts w:hint="default" w:ascii="宋体" w:hAnsi="宋体"/>
          <w:color w:val="auto"/>
          <w:sz w:val="24"/>
          <w:highlight w:val="none"/>
        </w:rPr>
        <w:t>最终验收合格之日</w:t>
      </w:r>
      <w:r>
        <w:rPr>
          <w:rFonts w:hint="eastAsia" w:ascii="宋体" w:hAnsi="宋体" w:eastAsia="宋体"/>
          <w:color w:val="auto"/>
          <w:sz w:val="24"/>
          <w:highlight w:val="none"/>
        </w:rPr>
        <w:t>起至质保期届满且经</w:t>
      </w:r>
      <w:r>
        <w:rPr>
          <w:rFonts w:hint="eastAsia" w:ascii="宋体" w:hAnsi="宋体"/>
          <w:color w:val="auto"/>
          <w:sz w:val="24"/>
          <w:highlight w:val="none"/>
          <w:lang w:eastAsia="zh-CN"/>
        </w:rPr>
        <w:t>采购方</w:t>
      </w:r>
      <w:r>
        <w:rPr>
          <w:rFonts w:hint="eastAsia" w:ascii="宋体" w:hAnsi="宋体" w:eastAsia="宋体"/>
          <w:color w:val="auto"/>
          <w:sz w:val="24"/>
          <w:highlight w:val="none"/>
        </w:rPr>
        <w:t>确认无任何质量问题时止。</w:t>
      </w:r>
    </w:p>
    <w:p>
      <w:pPr>
        <w:spacing w:line="400" w:lineRule="exact"/>
        <w:ind w:left="1" w:right="-224" w:rightChars="-112" w:firstLine="480" w:firstLineChars="200"/>
        <w:rPr>
          <w:rFonts w:hint="eastAsia" w:ascii="宋体" w:hAnsi="宋体" w:eastAsia="宋体"/>
          <w:sz w:val="24"/>
        </w:rPr>
      </w:pPr>
      <w:r>
        <w:rPr>
          <w:rFonts w:hint="eastAsia" w:ascii="宋体" w:hAnsi="宋体" w:eastAsia="宋体"/>
          <w:sz w:val="24"/>
        </w:rPr>
        <w:t>2</w:t>
      </w:r>
      <w:r>
        <w:rPr>
          <w:rFonts w:hint="default" w:ascii="宋体" w:hAnsi="宋体"/>
          <w:sz w:val="24"/>
        </w:rPr>
        <w:t>.</w:t>
      </w:r>
      <w:r>
        <w:rPr>
          <w:rFonts w:hint="eastAsia" w:ascii="宋体" w:hAnsi="宋体" w:eastAsia="宋体"/>
          <w:sz w:val="24"/>
        </w:rPr>
        <w:t>技术支持</w:t>
      </w:r>
    </w:p>
    <w:p>
      <w:pPr>
        <w:spacing w:line="400" w:lineRule="exact"/>
        <w:ind w:left="1" w:right="-224" w:rightChars="-112" w:firstLine="480" w:firstLineChars="200"/>
        <w:rPr>
          <w:rFonts w:hint="eastAsia" w:ascii="宋体" w:hAnsi="宋体" w:eastAsia="宋体"/>
          <w:sz w:val="24"/>
        </w:rPr>
      </w:pPr>
      <w:r>
        <w:rPr>
          <w:rFonts w:hint="eastAsia" w:ascii="宋体" w:hAnsi="宋体" w:eastAsia="宋体"/>
          <w:sz w:val="24"/>
        </w:rPr>
        <w:t>(1)远程技术支持：</w:t>
      </w:r>
      <w:r>
        <w:rPr>
          <w:rFonts w:hint="eastAsia" w:ascii="宋体" w:hAnsi="宋体"/>
          <w:sz w:val="24"/>
          <w:lang w:eastAsia="zh-CN"/>
        </w:rPr>
        <w:t>供应商</w:t>
      </w:r>
      <w:r>
        <w:rPr>
          <w:rFonts w:hint="eastAsia" w:ascii="宋体" w:hAnsi="宋体" w:eastAsia="宋体"/>
          <w:sz w:val="24"/>
        </w:rPr>
        <w:t>应具有稳定的技术支持队伍和完善的服务支持网络，提供7×24小时技术支持服务，及时响应</w:t>
      </w:r>
      <w:r>
        <w:rPr>
          <w:rFonts w:hint="eastAsia" w:ascii="宋体" w:hAnsi="宋体"/>
          <w:sz w:val="24"/>
          <w:lang w:eastAsia="zh-CN"/>
        </w:rPr>
        <w:t>采购方</w:t>
      </w:r>
      <w:r>
        <w:rPr>
          <w:rFonts w:hint="eastAsia" w:ascii="宋体" w:hAnsi="宋体" w:eastAsia="宋体"/>
          <w:sz w:val="24"/>
        </w:rPr>
        <w:t>的技术服务支持需求，提出有效的解决方案，解决</w:t>
      </w:r>
      <w:r>
        <w:rPr>
          <w:rFonts w:hint="eastAsia" w:ascii="宋体" w:hAnsi="宋体"/>
          <w:sz w:val="24"/>
          <w:lang w:eastAsia="zh-CN"/>
        </w:rPr>
        <w:t>采购方</w:t>
      </w:r>
      <w:r>
        <w:rPr>
          <w:rFonts w:hint="eastAsia" w:ascii="宋体" w:hAnsi="宋体" w:eastAsia="宋体"/>
          <w:sz w:val="24"/>
        </w:rPr>
        <w:t>在货物使用过程中遇到的实际问题。</w:t>
      </w:r>
    </w:p>
    <w:p>
      <w:pPr>
        <w:spacing w:line="400" w:lineRule="exact"/>
        <w:ind w:left="1" w:right="-224" w:rightChars="-112" w:firstLine="480" w:firstLineChars="200"/>
        <w:rPr>
          <w:rFonts w:hint="eastAsia" w:ascii="宋体" w:hAnsi="宋体" w:eastAsia="宋体"/>
          <w:sz w:val="24"/>
        </w:rPr>
      </w:pPr>
      <w:r>
        <w:rPr>
          <w:rFonts w:hint="eastAsia" w:ascii="宋体" w:hAnsi="宋体" w:eastAsia="宋体"/>
          <w:sz w:val="24"/>
        </w:rPr>
        <w:t>(2)现场技术支持：对于通过电话、邮件等远程技术支持不能解决的问题，</w:t>
      </w:r>
      <w:r>
        <w:rPr>
          <w:rFonts w:hint="eastAsia" w:ascii="宋体" w:hAnsi="宋体"/>
          <w:sz w:val="24"/>
          <w:lang w:eastAsia="zh-CN"/>
        </w:rPr>
        <w:t>供应商</w:t>
      </w:r>
      <w:r>
        <w:rPr>
          <w:rFonts w:hint="eastAsia" w:ascii="宋体" w:hAnsi="宋体" w:eastAsia="宋体"/>
          <w:sz w:val="24"/>
        </w:rPr>
        <w:t>应在3小时内派遣相关人员赶赴现场，3小时内维修完毕：发生紧急抢修事故的，</w:t>
      </w:r>
      <w:r>
        <w:rPr>
          <w:rFonts w:hint="eastAsia" w:ascii="宋体" w:hAnsi="宋体"/>
          <w:sz w:val="24"/>
          <w:lang w:eastAsia="zh-CN"/>
        </w:rPr>
        <w:t>供应商</w:t>
      </w:r>
      <w:r>
        <w:rPr>
          <w:rFonts w:hint="eastAsia" w:ascii="宋体" w:hAnsi="宋体" w:eastAsia="宋体"/>
          <w:sz w:val="24"/>
        </w:rPr>
        <w:t>应在接到</w:t>
      </w:r>
      <w:r>
        <w:rPr>
          <w:rFonts w:hint="eastAsia" w:ascii="宋体" w:hAnsi="宋体"/>
          <w:sz w:val="24"/>
          <w:lang w:eastAsia="zh-CN"/>
        </w:rPr>
        <w:t>采购方</w:t>
      </w:r>
      <w:r>
        <w:rPr>
          <w:rFonts w:hint="eastAsia" w:ascii="宋体" w:hAnsi="宋体" w:eastAsia="宋体"/>
          <w:sz w:val="24"/>
        </w:rPr>
        <w:t>通知后2小时内到达现场抢修，</w:t>
      </w:r>
      <w:r>
        <w:rPr>
          <w:rFonts w:hint="eastAsia" w:ascii="宋体" w:hAnsi="宋体"/>
          <w:sz w:val="24"/>
          <w:lang w:val="en-US" w:eastAsia="zh-CN"/>
        </w:rPr>
        <w:t>2</w:t>
      </w:r>
      <w:r>
        <w:rPr>
          <w:rFonts w:hint="eastAsia" w:ascii="宋体" w:hAnsi="宋体" w:eastAsia="宋体"/>
          <w:sz w:val="24"/>
        </w:rPr>
        <w:t>小时之内排除故障。</w:t>
      </w:r>
      <w:r>
        <w:rPr>
          <w:rFonts w:hint="eastAsia" w:ascii="宋体" w:hAnsi="宋体"/>
          <w:sz w:val="24"/>
          <w:lang w:eastAsia="zh-CN"/>
        </w:rPr>
        <w:t>供应商</w:t>
      </w:r>
      <w:r>
        <w:rPr>
          <w:rFonts w:hint="eastAsia" w:ascii="宋体" w:hAnsi="宋体" w:eastAsia="宋体"/>
          <w:sz w:val="24"/>
        </w:rPr>
        <w:t>未在约定时间内修复的或同一货物经2次维修后仍不能稳定、可靠运行的，</w:t>
      </w:r>
      <w:r>
        <w:rPr>
          <w:rFonts w:hint="eastAsia" w:ascii="宋体" w:hAnsi="宋体"/>
          <w:sz w:val="24"/>
          <w:lang w:eastAsia="zh-CN"/>
        </w:rPr>
        <w:t>采购方</w:t>
      </w:r>
      <w:r>
        <w:rPr>
          <w:rFonts w:hint="eastAsia" w:ascii="宋体" w:hAnsi="宋体" w:eastAsia="宋体"/>
          <w:sz w:val="24"/>
        </w:rPr>
        <w:t>有权要求</w:t>
      </w:r>
      <w:r>
        <w:rPr>
          <w:rFonts w:hint="eastAsia" w:ascii="宋体" w:hAnsi="宋体"/>
          <w:sz w:val="24"/>
          <w:lang w:eastAsia="zh-CN"/>
        </w:rPr>
        <w:t>供应商</w:t>
      </w:r>
      <w:r>
        <w:rPr>
          <w:rFonts w:hint="eastAsia" w:ascii="宋体" w:hAnsi="宋体" w:eastAsia="宋体"/>
          <w:sz w:val="24"/>
        </w:rPr>
        <w:t>免费更换。返修或更换后的部件</w:t>
      </w:r>
      <w:r>
        <w:rPr>
          <w:rFonts w:hint="default" w:ascii="宋体" w:hAnsi="宋体"/>
          <w:sz w:val="24"/>
        </w:rPr>
        <w:t>质保期</w:t>
      </w:r>
      <w:r>
        <w:rPr>
          <w:rFonts w:hint="eastAsia" w:ascii="宋体" w:hAnsi="宋体" w:eastAsia="宋体"/>
          <w:sz w:val="24"/>
        </w:rPr>
        <w:t>应重新计算。</w:t>
      </w:r>
    </w:p>
    <w:p>
      <w:pPr>
        <w:spacing w:line="400" w:lineRule="exact"/>
        <w:ind w:left="1" w:right="-224" w:rightChars="-112" w:firstLine="480" w:firstLineChars="200"/>
        <w:rPr>
          <w:rFonts w:hint="eastAsia" w:ascii="宋体" w:hAnsi="宋体" w:eastAsia="宋体"/>
          <w:sz w:val="24"/>
        </w:rPr>
      </w:pPr>
      <w:r>
        <w:rPr>
          <w:rFonts w:hint="eastAsia" w:ascii="宋体" w:hAnsi="宋体" w:eastAsia="宋体"/>
          <w:sz w:val="24"/>
        </w:rPr>
        <w:t>(3)技术升级支持：</w:t>
      </w:r>
      <w:r>
        <w:rPr>
          <w:rFonts w:hint="eastAsia" w:ascii="宋体" w:hAnsi="宋体"/>
          <w:sz w:val="24"/>
          <w:lang w:eastAsia="zh-CN"/>
        </w:rPr>
        <w:t>供应商</w:t>
      </w:r>
      <w:r>
        <w:rPr>
          <w:rFonts w:hint="eastAsia" w:ascii="宋体" w:hAnsi="宋体" w:eastAsia="宋体"/>
          <w:sz w:val="24"/>
        </w:rPr>
        <w:t>应提供货物所配置软件的终身免费维护和升级服务，保证货物正常运行，且不影响</w:t>
      </w:r>
      <w:r>
        <w:rPr>
          <w:rFonts w:hint="eastAsia" w:ascii="宋体" w:hAnsi="宋体"/>
          <w:sz w:val="24"/>
          <w:lang w:eastAsia="zh-CN"/>
        </w:rPr>
        <w:t>采购方</w:t>
      </w:r>
      <w:r>
        <w:rPr>
          <w:rFonts w:hint="eastAsia" w:ascii="宋体" w:hAnsi="宋体" w:eastAsia="宋体"/>
          <w:sz w:val="24"/>
        </w:rPr>
        <w:t>其它运行环境。</w:t>
      </w:r>
    </w:p>
    <w:p>
      <w:pPr>
        <w:spacing w:line="400" w:lineRule="exact"/>
        <w:ind w:left="1" w:right="-224" w:rightChars="-112" w:firstLine="480" w:firstLineChars="200"/>
        <w:rPr>
          <w:rFonts w:hint="eastAsia" w:ascii="宋体" w:hAnsi="宋体" w:eastAsia="宋体"/>
          <w:sz w:val="24"/>
        </w:rPr>
      </w:pPr>
      <w:r>
        <w:rPr>
          <w:rFonts w:hint="eastAsia" w:ascii="宋体" w:hAnsi="宋体" w:eastAsia="宋体"/>
          <w:sz w:val="24"/>
        </w:rPr>
        <w:t>3</w:t>
      </w:r>
      <w:r>
        <w:rPr>
          <w:rFonts w:hint="default" w:ascii="宋体" w:hAnsi="宋体"/>
          <w:sz w:val="24"/>
        </w:rPr>
        <w:t>.</w:t>
      </w:r>
      <w:r>
        <w:rPr>
          <w:rFonts w:hint="eastAsia" w:ascii="宋体" w:hAnsi="宋体" w:eastAsia="宋体"/>
          <w:sz w:val="24"/>
        </w:rPr>
        <w:t>在质保期内，</w:t>
      </w:r>
      <w:r>
        <w:rPr>
          <w:rFonts w:hint="eastAsia" w:ascii="宋体" w:hAnsi="宋体"/>
          <w:sz w:val="24"/>
          <w:lang w:eastAsia="zh-CN"/>
        </w:rPr>
        <w:t>供应商</w:t>
      </w:r>
      <w:r>
        <w:rPr>
          <w:rFonts w:hint="eastAsia" w:ascii="宋体" w:hAnsi="宋体" w:eastAsia="宋体"/>
          <w:sz w:val="24"/>
        </w:rPr>
        <w:t>应对货物出现的质量及安全问题负贵处理解决并承担一切费用。</w:t>
      </w:r>
    </w:p>
    <w:p>
      <w:pPr>
        <w:spacing w:line="400" w:lineRule="exact"/>
        <w:ind w:left="1" w:right="-224" w:rightChars="-112" w:firstLine="482" w:firstLineChars="200"/>
        <w:rPr>
          <w:rFonts w:ascii="宋体" w:hAnsi="宋体"/>
          <w:b/>
          <w:sz w:val="24"/>
        </w:rPr>
      </w:pPr>
      <w:r>
        <w:rPr>
          <w:rFonts w:hint="eastAsia" w:ascii="宋体" w:hAnsi="宋体"/>
          <w:b/>
          <w:sz w:val="24"/>
          <w:lang w:eastAsia="zh-CN"/>
        </w:rPr>
        <w:t>十</w:t>
      </w:r>
      <w:r>
        <w:rPr>
          <w:rFonts w:hint="eastAsia" w:ascii="宋体" w:hAnsi="宋体"/>
          <w:b/>
          <w:sz w:val="24"/>
        </w:rPr>
        <w:t>、合同修改</w:t>
      </w:r>
    </w:p>
    <w:p>
      <w:pPr>
        <w:spacing w:line="400" w:lineRule="exact"/>
        <w:ind w:left="1" w:right="-224" w:rightChars="-112" w:firstLine="480" w:firstLineChars="200"/>
        <w:rPr>
          <w:rFonts w:ascii="宋体" w:hAnsi="宋体"/>
          <w:sz w:val="24"/>
        </w:rPr>
      </w:pPr>
      <w:r>
        <w:rPr>
          <w:rFonts w:hint="eastAsia" w:ascii="宋体" w:hAnsi="宋体"/>
          <w:sz w:val="24"/>
        </w:rPr>
        <w:t>1</w:t>
      </w:r>
      <w:r>
        <w:rPr>
          <w:rFonts w:hint="default" w:ascii="宋体" w:hAnsi="宋体"/>
          <w:sz w:val="24"/>
        </w:rPr>
        <w:t>.</w:t>
      </w:r>
      <w:r>
        <w:rPr>
          <w:rFonts w:hint="eastAsia" w:ascii="宋体" w:hAnsi="宋体"/>
          <w:sz w:val="24"/>
        </w:rPr>
        <w:t>买卖双方的任何一方对合同内容提出修改，均应以书面形式通知对方，并达成由双方签署的</w:t>
      </w:r>
      <w:r>
        <w:rPr>
          <w:rFonts w:hint="default" w:ascii="宋体" w:hAnsi="宋体"/>
          <w:sz w:val="24"/>
        </w:rPr>
        <w:t>补充协议</w:t>
      </w:r>
      <w:r>
        <w:rPr>
          <w:rFonts w:hint="eastAsia" w:ascii="宋体" w:hAnsi="宋体"/>
          <w:sz w:val="24"/>
        </w:rPr>
        <w:t>。</w:t>
      </w:r>
    </w:p>
    <w:p>
      <w:pPr>
        <w:spacing w:line="400" w:lineRule="exact"/>
        <w:ind w:left="1" w:right="-224" w:rightChars="-112" w:firstLine="480" w:firstLineChars="200"/>
        <w:rPr>
          <w:rFonts w:ascii="宋体" w:hAnsi="宋体"/>
          <w:sz w:val="24"/>
        </w:rPr>
      </w:pPr>
      <w:r>
        <w:rPr>
          <w:rFonts w:hint="eastAsia" w:ascii="宋体" w:hAnsi="宋体"/>
          <w:sz w:val="24"/>
        </w:rPr>
        <w:t>2</w:t>
      </w:r>
      <w:r>
        <w:rPr>
          <w:rFonts w:hint="default" w:ascii="宋体" w:hAnsi="宋体"/>
          <w:sz w:val="24"/>
        </w:rPr>
        <w:t>.</w:t>
      </w:r>
      <w:r>
        <w:rPr>
          <w:rFonts w:hint="eastAsia" w:ascii="宋体" w:hAnsi="宋体"/>
          <w:sz w:val="24"/>
        </w:rPr>
        <w:t>除非</w:t>
      </w:r>
      <w:r>
        <w:rPr>
          <w:rFonts w:hint="eastAsia" w:ascii="宋体" w:hAnsi="宋体"/>
          <w:sz w:val="24"/>
          <w:lang w:eastAsia="zh-CN"/>
        </w:rPr>
        <w:t>采购方</w:t>
      </w:r>
      <w:r>
        <w:rPr>
          <w:rFonts w:hint="eastAsia" w:ascii="宋体" w:hAnsi="宋体"/>
          <w:sz w:val="24"/>
        </w:rPr>
        <w:t>对设备的型号、规格和涉及价格因素的技术参数和配套件提出修改，</w:t>
      </w:r>
      <w:r>
        <w:rPr>
          <w:rFonts w:hint="eastAsia" w:ascii="宋体" w:hAnsi="宋体"/>
          <w:sz w:val="24"/>
          <w:lang w:eastAsia="zh-CN"/>
        </w:rPr>
        <w:t>供应商</w:t>
      </w:r>
      <w:r>
        <w:rPr>
          <w:rFonts w:hint="eastAsia" w:ascii="宋体" w:hAnsi="宋体"/>
          <w:sz w:val="24"/>
        </w:rPr>
        <w:t>不得对合同价格提出修改要求。</w:t>
      </w:r>
    </w:p>
    <w:p>
      <w:pPr>
        <w:spacing w:line="400" w:lineRule="exact"/>
        <w:ind w:left="1" w:right="-224" w:rightChars="-112" w:firstLine="480" w:firstLineChars="200"/>
        <w:rPr>
          <w:rFonts w:ascii="宋体" w:hAnsi="宋体"/>
          <w:sz w:val="24"/>
        </w:rPr>
      </w:pPr>
      <w:r>
        <w:rPr>
          <w:rFonts w:hint="eastAsia" w:ascii="宋体" w:hAnsi="宋体"/>
          <w:sz w:val="24"/>
        </w:rPr>
        <w:t>3</w:t>
      </w:r>
      <w:r>
        <w:rPr>
          <w:rFonts w:hint="default" w:ascii="宋体" w:hAnsi="宋体"/>
          <w:sz w:val="24"/>
        </w:rPr>
        <w:t>.</w:t>
      </w:r>
      <w:r>
        <w:rPr>
          <w:rFonts w:hint="eastAsia" w:ascii="宋体" w:hAnsi="宋体"/>
          <w:sz w:val="24"/>
        </w:rPr>
        <w:t>业主因设计施工变更设备的型号、规格和数量，</w:t>
      </w:r>
      <w:r>
        <w:rPr>
          <w:rFonts w:hint="eastAsia" w:ascii="宋体" w:hAnsi="宋体"/>
          <w:sz w:val="24"/>
          <w:lang w:eastAsia="zh-CN"/>
        </w:rPr>
        <w:t>供应商</w:t>
      </w:r>
      <w:r>
        <w:rPr>
          <w:rFonts w:hint="eastAsia" w:ascii="宋体" w:hAnsi="宋体"/>
          <w:sz w:val="24"/>
        </w:rPr>
        <w:t>应承诺多退少补，并及时供货保证施工进度需要。</w:t>
      </w:r>
    </w:p>
    <w:p>
      <w:pPr>
        <w:spacing w:line="400" w:lineRule="exact"/>
        <w:ind w:left="1" w:right="-224" w:rightChars="-112" w:firstLine="472" w:firstLineChars="196"/>
        <w:rPr>
          <w:rFonts w:ascii="宋体" w:hAnsi="宋体"/>
          <w:b/>
          <w:sz w:val="24"/>
        </w:rPr>
      </w:pPr>
      <w:r>
        <w:rPr>
          <w:rFonts w:hint="eastAsia" w:ascii="宋体" w:hAnsi="宋体"/>
          <w:b/>
          <w:sz w:val="24"/>
        </w:rPr>
        <w:t>十</w:t>
      </w:r>
      <w:r>
        <w:rPr>
          <w:rFonts w:hint="eastAsia" w:ascii="宋体" w:hAnsi="宋体"/>
          <w:b/>
          <w:sz w:val="24"/>
          <w:lang w:eastAsia="zh-CN"/>
        </w:rPr>
        <w:t>一</w:t>
      </w:r>
      <w:r>
        <w:rPr>
          <w:rFonts w:hint="eastAsia" w:ascii="宋体" w:hAnsi="宋体"/>
          <w:b/>
          <w:sz w:val="24"/>
        </w:rPr>
        <w:t>、违约责任</w:t>
      </w:r>
    </w:p>
    <w:p>
      <w:pPr>
        <w:spacing w:line="400" w:lineRule="exact"/>
        <w:ind w:left="1" w:right="-224" w:rightChars="-112" w:firstLine="480" w:firstLineChars="200"/>
        <w:rPr>
          <w:rFonts w:ascii="宋体" w:hAnsi="宋体"/>
          <w:sz w:val="24"/>
        </w:rPr>
      </w:pPr>
      <w:r>
        <w:rPr>
          <w:rFonts w:hint="eastAsia" w:ascii="宋体" w:hAnsi="宋体"/>
          <w:sz w:val="24"/>
        </w:rPr>
        <w:t>1</w:t>
      </w:r>
      <w:r>
        <w:rPr>
          <w:rFonts w:hint="default" w:ascii="宋体" w:hAnsi="宋体"/>
          <w:sz w:val="24"/>
        </w:rPr>
        <w:t>.</w:t>
      </w:r>
      <w:r>
        <w:rPr>
          <w:rFonts w:hint="eastAsia" w:ascii="宋体" w:hAnsi="宋体"/>
          <w:sz w:val="24"/>
        </w:rPr>
        <w:t>设备质量责任</w:t>
      </w:r>
    </w:p>
    <w:p>
      <w:pPr>
        <w:spacing w:line="400" w:lineRule="exact"/>
        <w:ind w:left="1" w:right="-224" w:rightChars="-112" w:firstLine="480" w:firstLineChars="200"/>
        <w:rPr>
          <w:rFonts w:ascii="宋体" w:hAnsi="宋体"/>
          <w:sz w:val="24"/>
        </w:rPr>
      </w:pPr>
      <w:r>
        <w:rPr>
          <w:rFonts w:hint="eastAsia" w:ascii="宋体" w:hAnsi="宋体"/>
          <w:sz w:val="24"/>
        </w:rPr>
        <w:t>1）在设备质量保证期内，凡设备在开箱检验、安装调试、设备试运转过程中发现的设备质量问题，由</w:t>
      </w:r>
      <w:r>
        <w:rPr>
          <w:rFonts w:hint="eastAsia" w:ascii="宋体" w:hAnsi="宋体"/>
          <w:sz w:val="24"/>
          <w:lang w:eastAsia="zh-CN"/>
        </w:rPr>
        <w:t>供应商</w:t>
      </w:r>
      <w:r>
        <w:rPr>
          <w:rFonts w:hint="eastAsia" w:ascii="宋体" w:hAnsi="宋体"/>
          <w:sz w:val="24"/>
        </w:rPr>
        <w:t>负责处理，实行包修、包换、包退，直至设备符合质量要求，</w:t>
      </w:r>
      <w:r>
        <w:rPr>
          <w:rFonts w:hint="eastAsia" w:ascii="宋体" w:hAnsi="宋体"/>
          <w:sz w:val="24"/>
          <w:lang w:eastAsia="zh-CN"/>
        </w:rPr>
        <w:t>供应商</w:t>
      </w:r>
      <w:r>
        <w:rPr>
          <w:rFonts w:hint="eastAsia" w:ascii="宋体" w:hAnsi="宋体"/>
          <w:sz w:val="24"/>
        </w:rPr>
        <w:t>同时承担修理、调换、退货发生的一切费用及其他由此引起的经济损失。</w:t>
      </w:r>
    </w:p>
    <w:p>
      <w:pPr>
        <w:spacing w:line="400" w:lineRule="exact"/>
        <w:ind w:left="1" w:right="-224" w:rightChars="-112" w:firstLine="480" w:firstLineChars="200"/>
        <w:rPr>
          <w:rFonts w:ascii="宋体" w:hAnsi="宋体"/>
          <w:sz w:val="24"/>
        </w:rPr>
      </w:pPr>
      <w:r>
        <w:rPr>
          <w:rFonts w:hint="eastAsia" w:ascii="宋体" w:hAnsi="宋体"/>
          <w:sz w:val="24"/>
        </w:rPr>
        <w:t>2)由于</w:t>
      </w:r>
      <w:r>
        <w:rPr>
          <w:rFonts w:hint="eastAsia" w:ascii="宋体" w:hAnsi="宋体"/>
          <w:sz w:val="24"/>
          <w:lang w:eastAsia="zh-CN"/>
        </w:rPr>
        <w:t>采购方</w:t>
      </w:r>
      <w:r>
        <w:rPr>
          <w:rFonts w:hint="eastAsia" w:ascii="宋体" w:hAnsi="宋体"/>
          <w:sz w:val="24"/>
        </w:rPr>
        <w:t>保管不善或使用不当造成设备短缺、故障或损坏，由</w:t>
      </w:r>
      <w:r>
        <w:rPr>
          <w:rFonts w:hint="eastAsia" w:ascii="宋体" w:hAnsi="宋体"/>
          <w:sz w:val="24"/>
          <w:lang w:eastAsia="zh-CN"/>
        </w:rPr>
        <w:t>采购方</w:t>
      </w:r>
      <w:r>
        <w:rPr>
          <w:rFonts w:hint="eastAsia" w:ascii="宋体" w:hAnsi="宋体"/>
          <w:sz w:val="24"/>
        </w:rPr>
        <w:t>负责，但</w:t>
      </w:r>
      <w:r>
        <w:rPr>
          <w:rFonts w:hint="eastAsia" w:ascii="宋体" w:hAnsi="宋体"/>
          <w:sz w:val="24"/>
          <w:lang w:eastAsia="zh-CN"/>
        </w:rPr>
        <w:t>供应商</w:t>
      </w:r>
      <w:r>
        <w:rPr>
          <w:rFonts w:hint="eastAsia" w:ascii="宋体" w:hAnsi="宋体"/>
          <w:sz w:val="24"/>
        </w:rPr>
        <w:t>保证及时给予补齐或修复。</w:t>
      </w:r>
    </w:p>
    <w:p>
      <w:pPr>
        <w:spacing w:line="400" w:lineRule="exact"/>
        <w:ind w:left="1" w:right="-224" w:rightChars="-112" w:firstLine="480" w:firstLineChars="200"/>
        <w:rPr>
          <w:rFonts w:ascii="宋体" w:hAnsi="宋体"/>
          <w:sz w:val="24"/>
        </w:rPr>
      </w:pPr>
      <w:r>
        <w:rPr>
          <w:rFonts w:hint="eastAsia" w:ascii="宋体" w:hAnsi="宋体"/>
          <w:sz w:val="24"/>
        </w:rPr>
        <w:t>2</w:t>
      </w:r>
      <w:r>
        <w:rPr>
          <w:rFonts w:hint="default" w:ascii="宋体" w:hAnsi="宋体"/>
          <w:sz w:val="24"/>
        </w:rPr>
        <w:t>.</w:t>
      </w:r>
      <w:r>
        <w:rPr>
          <w:rFonts w:hint="eastAsia" w:ascii="宋体" w:hAnsi="宋体"/>
          <w:sz w:val="24"/>
        </w:rPr>
        <w:t>违约赔偿</w:t>
      </w:r>
    </w:p>
    <w:p>
      <w:pPr>
        <w:spacing w:line="360" w:lineRule="auto"/>
        <w:ind w:firstLine="480" w:firstLineChars="200"/>
        <w:jc w:val="left"/>
        <w:rPr>
          <w:rFonts w:ascii="宋体"/>
          <w:sz w:val="24"/>
        </w:rPr>
      </w:pPr>
      <w:r>
        <w:rPr>
          <w:rFonts w:hint="eastAsia" w:ascii="宋体" w:hAnsi="宋体"/>
          <w:sz w:val="24"/>
        </w:rPr>
        <w:t>1）因产品的材质或厂方其他原因（如指导不到位等），造成无法通过第三方机构检定的，可退货，返还支付款；</w:t>
      </w:r>
    </w:p>
    <w:p>
      <w:pPr>
        <w:widowControl/>
        <w:spacing w:line="365" w:lineRule="atLeast"/>
        <w:ind w:left="1" w:firstLine="560"/>
        <w:jc w:val="left"/>
        <w:textAlignment w:val="bottom"/>
        <w:rPr>
          <w:rFonts w:ascii="宋体" w:hAnsi="宋体"/>
          <w:sz w:val="24"/>
        </w:rPr>
      </w:pPr>
      <w:r>
        <w:rPr>
          <w:rFonts w:hint="eastAsia" w:ascii="宋体" w:hAnsi="宋体"/>
          <w:sz w:val="24"/>
        </w:rPr>
        <w:t>2）因产品质量造成使用方经济损失的，承担赔偿责任</w:t>
      </w:r>
      <w:r>
        <w:rPr>
          <w:rFonts w:hint="default" w:ascii="宋体" w:hAnsi="宋体"/>
          <w:sz w:val="24"/>
        </w:rPr>
        <w:t>。</w:t>
      </w:r>
    </w:p>
    <w:p>
      <w:pPr>
        <w:spacing w:line="400" w:lineRule="exact"/>
        <w:ind w:right="-224" w:rightChars="-112" w:firstLine="472" w:firstLineChars="196"/>
        <w:rPr>
          <w:rFonts w:ascii="宋体" w:hAnsi="宋体"/>
          <w:b/>
          <w:sz w:val="24"/>
        </w:rPr>
      </w:pPr>
      <w:r>
        <w:rPr>
          <w:rFonts w:hint="eastAsia" w:ascii="宋体" w:hAnsi="宋体"/>
          <w:b/>
          <w:sz w:val="24"/>
        </w:rPr>
        <w:t>十</w:t>
      </w:r>
      <w:r>
        <w:rPr>
          <w:rFonts w:hint="eastAsia" w:ascii="宋体" w:hAnsi="宋体"/>
          <w:b/>
          <w:sz w:val="24"/>
          <w:lang w:eastAsia="zh-CN"/>
        </w:rPr>
        <w:t>二</w:t>
      </w:r>
      <w:r>
        <w:rPr>
          <w:rFonts w:hint="eastAsia" w:ascii="宋体" w:hAnsi="宋体"/>
          <w:b/>
          <w:sz w:val="24"/>
        </w:rPr>
        <w:t>、违约终止合同</w:t>
      </w:r>
    </w:p>
    <w:p>
      <w:pPr>
        <w:spacing w:line="400" w:lineRule="exact"/>
        <w:ind w:left="1" w:right="-224" w:rightChars="-112" w:firstLine="600" w:firstLineChars="250"/>
        <w:rPr>
          <w:rFonts w:ascii="宋体" w:hAnsi="宋体"/>
          <w:sz w:val="24"/>
        </w:rPr>
      </w:pPr>
      <w:r>
        <w:rPr>
          <w:rFonts w:hint="eastAsia" w:ascii="宋体" w:hAnsi="宋体"/>
          <w:sz w:val="24"/>
        </w:rPr>
        <w:t>1</w:t>
      </w:r>
      <w:r>
        <w:rPr>
          <w:rFonts w:hint="default" w:ascii="宋体" w:hAnsi="宋体"/>
          <w:sz w:val="24"/>
        </w:rPr>
        <w:t>.</w:t>
      </w:r>
      <w:r>
        <w:rPr>
          <w:rFonts w:hint="eastAsia" w:ascii="宋体" w:hAnsi="宋体"/>
          <w:sz w:val="24"/>
          <w:lang w:eastAsia="zh-CN"/>
        </w:rPr>
        <w:t>采购方</w:t>
      </w:r>
      <w:r>
        <w:rPr>
          <w:rFonts w:hint="eastAsia" w:ascii="宋体" w:hAnsi="宋体"/>
          <w:sz w:val="24"/>
        </w:rPr>
        <w:t>在</w:t>
      </w:r>
      <w:r>
        <w:rPr>
          <w:rFonts w:hint="eastAsia" w:ascii="宋体" w:hAnsi="宋体"/>
          <w:sz w:val="24"/>
          <w:lang w:eastAsia="zh-CN"/>
        </w:rPr>
        <w:t>供应商</w:t>
      </w:r>
      <w:r>
        <w:rPr>
          <w:rFonts w:hint="eastAsia" w:ascii="宋体" w:hAnsi="宋体"/>
          <w:sz w:val="24"/>
        </w:rPr>
        <w:t>存在如下违约情况时，有权考虑并提出终止全部或部分合同。</w:t>
      </w:r>
    </w:p>
    <w:p>
      <w:pPr>
        <w:spacing w:line="400" w:lineRule="exact"/>
        <w:ind w:right="-224" w:rightChars="-112" w:firstLine="480" w:firstLineChars="200"/>
        <w:rPr>
          <w:rFonts w:ascii="宋体" w:hAnsi="宋体"/>
          <w:sz w:val="24"/>
        </w:rPr>
      </w:pPr>
      <w:r>
        <w:rPr>
          <w:rFonts w:hint="eastAsia" w:ascii="宋体" w:hAnsi="宋体"/>
          <w:sz w:val="24"/>
        </w:rPr>
        <w:t>1)</w:t>
      </w:r>
      <w:r>
        <w:rPr>
          <w:rFonts w:hint="eastAsia" w:ascii="宋体" w:hAnsi="宋体"/>
          <w:sz w:val="24"/>
          <w:lang w:eastAsia="zh-CN"/>
        </w:rPr>
        <w:t>供应商</w:t>
      </w:r>
      <w:r>
        <w:rPr>
          <w:rFonts w:hint="eastAsia" w:ascii="宋体" w:hAnsi="宋体"/>
          <w:sz w:val="24"/>
        </w:rPr>
        <w:t>未能在合同规定期限或</w:t>
      </w:r>
      <w:r>
        <w:rPr>
          <w:rFonts w:hint="eastAsia" w:ascii="宋体" w:hAnsi="宋体"/>
          <w:sz w:val="24"/>
          <w:lang w:eastAsia="zh-CN"/>
        </w:rPr>
        <w:t>采购方</w:t>
      </w:r>
      <w:r>
        <w:rPr>
          <w:rFonts w:hint="eastAsia" w:ascii="宋体" w:hAnsi="宋体"/>
          <w:sz w:val="24"/>
        </w:rPr>
        <w:t>同意延长的期限内交付全部或部分设备。</w:t>
      </w:r>
    </w:p>
    <w:p>
      <w:pPr>
        <w:spacing w:line="400" w:lineRule="exact"/>
        <w:ind w:left="1" w:right="-224" w:rightChars="-112" w:firstLine="480" w:firstLineChars="200"/>
        <w:rPr>
          <w:rFonts w:ascii="宋体" w:hAnsi="宋体"/>
          <w:sz w:val="24"/>
        </w:rPr>
      </w:pPr>
      <w:r>
        <w:rPr>
          <w:rFonts w:hint="eastAsia" w:ascii="宋体" w:hAnsi="宋体"/>
          <w:sz w:val="24"/>
        </w:rPr>
        <w:t>2)</w:t>
      </w:r>
      <w:r>
        <w:rPr>
          <w:rFonts w:hint="eastAsia" w:ascii="宋体" w:hAnsi="宋体"/>
          <w:sz w:val="24"/>
          <w:lang w:eastAsia="zh-CN"/>
        </w:rPr>
        <w:t>供应商</w:t>
      </w:r>
      <w:r>
        <w:rPr>
          <w:rFonts w:hint="eastAsia" w:ascii="宋体" w:hAnsi="宋体"/>
          <w:sz w:val="24"/>
        </w:rPr>
        <w:t>未能履行合同规定的其他义务。</w:t>
      </w:r>
    </w:p>
    <w:p>
      <w:pPr>
        <w:spacing w:line="400" w:lineRule="exact"/>
        <w:ind w:left="1" w:right="-224" w:rightChars="-112" w:firstLine="480" w:firstLineChars="200"/>
        <w:rPr>
          <w:rFonts w:ascii="宋体" w:hAnsi="宋体"/>
          <w:sz w:val="24"/>
        </w:rPr>
      </w:pPr>
      <w:r>
        <w:rPr>
          <w:rFonts w:hint="eastAsia" w:ascii="宋体" w:hAnsi="宋体"/>
          <w:sz w:val="24"/>
        </w:rPr>
        <w:t>3)在发生上述情况后，</w:t>
      </w:r>
      <w:r>
        <w:rPr>
          <w:rFonts w:hint="eastAsia" w:ascii="宋体" w:hAnsi="宋体"/>
          <w:sz w:val="24"/>
          <w:lang w:eastAsia="zh-CN"/>
        </w:rPr>
        <w:t>供应商</w:t>
      </w:r>
      <w:r>
        <w:rPr>
          <w:rFonts w:hint="eastAsia" w:ascii="宋体" w:hAnsi="宋体"/>
          <w:sz w:val="24"/>
        </w:rPr>
        <w:t>收到</w:t>
      </w:r>
      <w:r>
        <w:rPr>
          <w:rFonts w:hint="eastAsia" w:ascii="宋体" w:hAnsi="宋体"/>
          <w:sz w:val="24"/>
          <w:lang w:eastAsia="zh-CN"/>
        </w:rPr>
        <w:t>采购方</w:t>
      </w:r>
      <w:r>
        <w:rPr>
          <w:rFonts w:hint="eastAsia" w:ascii="宋体" w:hAnsi="宋体"/>
          <w:sz w:val="24"/>
        </w:rPr>
        <w:t>的违约通知后30天内未能纠正其过失。</w:t>
      </w:r>
    </w:p>
    <w:p>
      <w:pPr>
        <w:spacing w:line="400" w:lineRule="exact"/>
        <w:ind w:left="1" w:right="-224" w:rightChars="-112" w:firstLine="480" w:firstLineChars="200"/>
        <w:rPr>
          <w:rFonts w:ascii="宋体" w:hAnsi="宋体"/>
          <w:sz w:val="24"/>
        </w:rPr>
      </w:pPr>
      <w:r>
        <w:rPr>
          <w:rFonts w:hint="eastAsia" w:ascii="宋体" w:hAnsi="宋体"/>
          <w:sz w:val="24"/>
        </w:rPr>
        <w:t>2、</w:t>
      </w:r>
      <w:r>
        <w:rPr>
          <w:rFonts w:hint="eastAsia" w:ascii="宋体" w:hAnsi="宋体"/>
          <w:sz w:val="24"/>
          <w:lang w:eastAsia="zh-CN"/>
        </w:rPr>
        <w:t>供应商</w:t>
      </w:r>
      <w:r>
        <w:rPr>
          <w:rFonts w:hint="eastAsia" w:ascii="宋体" w:hAnsi="宋体"/>
          <w:sz w:val="24"/>
        </w:rPr>
        <w:t>应继续执行合同中未中止部分。</w:t>
      </w:r>
    </w:p>
    <w:p>
      <w:pPr>
        <w:spacing w:line="400" w:lineRule="exact"/>
        <w:ind w:left="1" w:right="-224" w:rightChars="-112" w:firstLine="480" w:firstLineChars="200"/>
        <w:rPr>
          <w:rFonts w:ascii="宋体" w:hAnsi="宋体"/>
          <w:sz w:val="24"/>
        </w:rPr>
      </w:pPr>
      <w:r>
        <w:rPr>
          <w:rFonts w:hint="eastAsia" w:ascii="宋体" w:hAnsi="宋体"/>
          <w:sz w:val="24"/>
        </w:rPr>
        <w:t>3、在</w:t>
      </w:r>
      <w:r>
        <w:rPr>
          <w:rFonts w:hint="eastAsia" w:ascii="宋体" w:hAnsi="宋体"/>
          <w:sz w:val="24"/>
          <w:lang w:eastAsia="zh-CN"/>
        </w:rPr>
        <w:t>采购方</w:t>
      </w:r>
      <w:r>
        <w:rPr>
          <w:rFonts w:hint="eastAsia" w:ascii="宋体" w:hAnsi="宋体"/>
          <w:sz w:val="24"/>
        </w:rPr>
        <w:t>提出终止部分合同的情况下，并不解除</w:t>
      </w:r>
      <w:r>
        <w:rPr>
          <w:rFonts w:hint="eastAsia" w:ascii="宋体" w:hAnsi="宋体"/>
          <w:sz w:val="24"/>
          <w:lang w:eastAsia="zh-CN"/>
        </w:rPr>
        <w:t>供应商</w:t>
      </w:r>
      <w:r>
        <w:rPr>
          <w:rFonts w:hint="eastAsia" w:ascii="宋体" w:hAnsi="宋体"/>
          <w:sz w:val="24"/>
        </w:rPr>
        <w:t>对已交货部分设备应负的设备质量责任。</w:t>
      </w:r>
    </w:p>
    <w:p>
      <w:pPr>
        <w:spacing w:line="400" w:lineRule="exact"/>
        <w:ind w:left="1" w:right="-224" w:rightChars="-112" w:firstLine="472" w:firstLineChars="196"/>
        <w:rPr>
          <w:rFonts w:ascii="宋体" w:hAnsi="宋体"/>
          <w:b/>
          <w:sz w:val="24"/>
        </w:rPr>
      </w:pPr>
      <w:r>
        <w:rPr>
          <w:rFonts w:hint="eastAsia" w:ascii="宋体" w:hAnsi="宋体"/>
          <w:b/>
          <w:sz w:val="24"/>
        </w:rPr>
        <w:t>十</w:t>
      </w:r>
      <w:r>
        <w:rPr>
          <w:rFonts w:hint="eastAsia" w:ascii="宋体" w:hAnsi="宋体"/>
          <w:b/>
          <w:sz w:val="24"/>
          <w:lang w:eastAsia="zh-CN"/>
        </w:rPr>
        <w:t>三</w:t>
      </w:r>
      <w:r>
        <w:rPr>
          <w:rFonts w:hint="eastAsia" w:ascii="宋体" w:hAnsi="宋体"/>
          <w:b/>
          <w:sz w:val="24"/>
        </w:rPr>
        <w:t>、安全责任</w:t>
      </w:r>
    </w:p>
    <w:p>
      <w:pPr>
        <w:spacing w:line="400" w:lineRule="exact"/>
        <w:ind w:left="1" w:right="-224" w:rightChars="-112" w:firstLine="480" w:firstLineChars="200"/>
        <w:rPr>
          <w:rFonts w:ascii="宋体" w:hAnsi="宋体"/>
          <w:sz w:val="24"/>
        </w:rPr>
      </w:pPr>
      <w:r>
        <w:rPr>
          <w:rFonts w:hint="eastAsia" w:ascii="宋体" w:hAnsi="宋体"/>
          <w:sz w:val="24"/>
          <w:lang w:eastAsia="zh-CN"/>
        </w:rPr>
        <w:t>供应商</w:t>
      </w:r>
      <w:r>
        <w:rPr>
          <w:rFonts w:hint="eastAsia" w:ascii="宋体" w:hAnsi="宋体"/>
          <w:sz w:val="24"/>
        </w:rPr>
        <w:t>承担设备到货、调试及质保期内维修服务的所有安全责任。</w:t>
      </w:r>
    </w:p>
    <w:p>
      <w:pPr>
        <w:spacing w:line="400" w:lineRule="exact"/>
        <w:ind w:left="1" w:right="-224" w:rightChars="-112" w:firstLine="472" w:firstLineChars="196"/>
        <w:rPr>
          <w:rFonts w:ascii="宋体" w:hAnsi="宋体"/>
          <w:b/>
          <w:sz w:val="24"/>
        </w:rPr>
      </w:pPr>
      <w:r>
        <w:rPr>
          <w:rFonts w:hint="eastAsia" w:ascii="宋体" w:hAnsi="宋体"/>
          <w:b/>
          <w:sz w:val="24"/>
        </w:rPr>
        <w:t>十四、合同纠纷解决方式</w:t>
      </w:r>
      <w:r>
        <w:rPr>
          <w:rFonts w:ascii="宋体" w:hAnsi="宋体"/>
          <w:b/>
          <w:sz w:val="24"/>
        </w:rPr>
        <w:t xml:space="preserve">  </w:t>
      </w:r>
    </w:p>
    <w:p>
      <w:pPr>
        <w:spacing w:line="400" w:lineRule="exact"/>
        <w:ind w:left="1" w:right="-224" w:rightChars="-112" w:firstLine="480" w:firstLineChars="200"/>
        <w:rPr>
          <w:rFonts w:ascii="宋体" w:hAnsi="宋体"/>
          <w:sz w:val="24"/>
        </w:rPr>
      </w:pPr>
      <w:r>
        <w:rPr>
          <w:rFonts w:hint="eastAsia" w:ascii="宋体" w:hAnsi="宋体"/>
          <w:sz w:val="24"/>
        </w:rPr>
        <w:t>凡有关本合同或执行本合同中发生的争端，买卖双方应通过友好协商，妥善解决。</w:t>
      </w:r>
      <w:r>
        <w:rPr>
          <w:rFonts w:hint="eastAsia" w:ascii="宋体" w:cs="宋体"/>
          <w:sz w:val="24"/>
          <w:lang w:val="zh-CN"/>
        </w:rPr>
        <w:t>如协商不成的，</w:t>
      </w:r>
      <w:r>
        <w:rPr>
          <w:rFonts w:hint="default" w:ascii="宋体" w:cs="宋体"/>
          <w:sz w:val="24"/>
        </w:rPr>
        <w:t>可向</w:t>
      </w:r>
      <w:r>
        <w:rPr>
          <w:rFonts w:hint="eastAsia" w:ascii="宋体" w:cs="宋体"/>
          <w:sz w:val="24"/>
          <w:lang w:val="zh-CN"/>
        </w:rPr>
        <w:t>采购方住所地法院</w:t>
      </w:r>
      <w:r>
        <w:rPr>
          <w:rFonts w:hint="default" w:ascii="宋体" w:cs="宋体"/>
          <w:sz w:val="24"/>
        </w:rPr>
        <w:t>起诉</w:t>
      </w:r>
      <w:r>
        <w:rPr>
          <w:rFonts w:hint="eastAsia" w:ascii="宋体" w:cs="宋体"/>
          <w:sz w:val="24"/>
          <w:lang w:val="zh-CN"/>
        </w:rPr>
        <w:t>。</w:t>
      </w:r>
    </w:p>
    <w:p>
      <w:pPr>
        <w:spacing w:line="400" w:lineRule="exact"/>
        <w:ind w:left="1" w:right="-224" w:rightChars="-112" w:firstLine="472" w:firstLineChars="196"/>
        <w:rPr>
          <w:rFonts w:ascii="宋体" w:hAnsi="宋体"/>
          <w:b/>
          <w:sz w:val="24"/>
        </w:rPr>
      </w:pPr>
      <w:r>
        <w:rPr>
          <w:rFonts w:hint="eastAsia" w:ascii="宋体" w:hAnsi="宋体"/>
          <w:b/>
          <w:sz w:val="24"/>
        </w:rPr>
        <w:t>十五、适用法律</w:t>
      </w:r>
    </w:p>
    <w:p>
      <w:pPr>
        <w:spacing w:line="400" w:lineRule="exact"/>
        <w:ind w:left="1" w:right="-224" w:rightChars="-112" w:firstLine="480" w:firstLineChars="200"/>
        <w:rPr>
          <w:rFonts w:ascii="宋体" w:hAnsi="宋体"/>
          <w:sz w:val="24"/>
        </w:rPr>
      </w:pPr>
      <w:r>
        <w:rPr>
          <w:rFonts w:hint="eastAsia" w:ascii="宋体" w:hAnsi="宋体"/>
          <w:sz w:val="24"/>
        </w:rPr>
        <w:t>按照中华人民共和国的生效法律、法规和浙江省政府所规定的条例进行解释。</w:t>
      </w:r>
    </w:p>
    <w:p>
      <w:pPr>
        <w:spacing w:line="400" w:lineRule="exact"/>
        <w:ind w:left="1" w:right="-224" w:rightChars="-112" w:firstLine="472" w:firstLineChars="196"/>
        <w:rPr>
          <w:rFonts w:ascii="宋体" w:hAnsi="宋体"/>
          <w:b/>
          <w:sz w:val="24"/>
        </w:rPr>
      </w:pPr>
      <w:r>
        <w:rPr>
          <w:rFonts w:hint="eastAsia" w:ascii="宋体" w:hAnsi="宋体"/>
          <w:b/>
          <w:sz w:val="24"/>
        </w:rPr>
        <w:t>十六、合同有效期及其他</w:t>
      </w:r>
    </w:p>
    <w:p>
      <w:pPr>
        <w:spacing w:line="400" w:lineRule="exact"/>
        <w:ind w:left="1" w:right="-224" w:rightChars="-112" w:firstLine="480" w:firstLineChars="200"/>
        <w:rPr>
          <w:rFonts w:ascii="宋体" w:hAnsi="宋体"/>
          <w:sz w:val="24"/>
        </w:rPr>
      </w:pPr>
      <w:r>
        <w:rPr>
          <w:rFonts w:hint="eastAsia" w:ascii="宋体" w:hAnsi="宋体"/>
          <w:sz w:val="24"/>
        </w:rPr>
        <w:t>1</w:t>
      </w:r>
      <w:r>
        <w:rPr>
          <w:rFonts w:hint="default" w:ascii="宋体" w:hAnsi="宋体"/>
          <w:sz w:val="24"/>
        </w:rPr>
        <w:t>.</w:t>
      </w:r>
      <w:r>
        <w:rPr>
          <w:rFonts w:hint="eastAsia" w:ascii="宋体" w:hAnsi="宋体"/>
          <w:sz w:val="24"/>
        </w:rPr>
        <w:t>合同应在双方法人代表或</w:t>
      </w:r>
      <w:r>
        <w:rPr>
          <w:rFonts w:hint="default" w:ascii="宋体" w:hAnsi="宋体"/>
          <w:sz w:val="24"/>
        </w:rPr>
        <w:t>委托代理</w:t>
      </w:r>
      <w:r>
        <w:rPr>
          <w:rFonts w:hint="eastAsia" w:ascii="宋体" w:hAnsi="宋体"/>
          <w:sz w:val="24"/>
        </w:rPr>
        <w:t>人签字并加盖单位公章或合同章后生效至质保期满之日起终止。招标文件、投标文件、补充文件、招标答疑纪要及设计联络会会议纪要等作为本合同的附件，与本合同具有同等法律效力；解释顺序为合同（补充</w:t>
      </w:r>
      <w:r>
        <w:rPr>
          <w:rFonts w:hint="default" w:ascii="宋体" w:hAnsi="宋体"/>
          <w:sz w:val="24"/>
        </w:rPr>
        <w:t>协议</w:t>
      </w:r>
      <w:r>
        <w:rPr>
          <w:rFonts w:hint="eastAsia" w:ascii="宋体" w:hAnsi="宋体"/>
          <w:sz w:val="24"/>
        </w:rPr>
        <w:t>）、设计联络会会议纪要、询标承诺、招标文件（招标答疑纪要）、投标文件等。</w:t>
      </w:r>
    </w:p>
    <w:p>
      <w:pPr>
        <w:spacing w:line="400" w:lineRule="exact"/>
        <w:ind w:left="1" w:right="-224" w:rightChars="-112" w:firstLine="480" w:firstLineChars="200"/>
        <w:rPr>
          <w:rFonts w:ascii="宋体" w:hAnsi="宋体"/>
          <w:sz w:val="24"/>
        </w:rPr>
      </w:pPr>
      <w:r>
        <w:rPr>
          <w:rFonts w:hint="eastAsia" w:ascii="宋体" w:hAnsi="宋体"/>
          <w:sz w:val="24"/>
        </w:rPr>
        <w:t>2</w:t>
      </w:r>
      <w:r>
        <w:rPr>
          <w:rFonts w:hint="default" w:ascii="宋体" w:hAnsi="宋体"/>
          <w:sz w:val="24"/>
        </w:rPr>
        <w:t>.</w:t>
      </w:r>
      <w:r>
        <w:rPr>
          <w:rFonts w:hint="eastAsia" w:ascii="宋体" w:hAnsi="宋体"/>
          <w:sz w:val="24"/>
        </w:rPr>
        <w:t>本合同一式伍份，</w:t>
      </w:r>
      <w:r>
        <w:rPr>
          <w:rFonts w:hint="eastAsia" w:ascii="宋体" w:hAnsi="宋体"/>
          <w:sz w:val="24"/>
          <w:lang w:eastAsia="zh-CN"/>
        </w:rPr>
        <w:t>采购方</w:t>
      </w:r>
      <w:r>
        <w:rPr>
          <w:rFonts w:hint="eastAsia" w:ascii="宋体" w:hAnsi="宋体"/>
          <w:sz w:val="24"/>
        </w:rPr>
        <w:t>执叁份，</w:t>
      </w:r>
      <w:r>
        <w:rPr>
          <w:rFonts w:hint="eastAsia" w:ascii="宋体" w:hAnsi="宋体"/>
          <w:sz w:val="24"/>
          <w:lang w:eastAsia="zh-CN"/>
        </w:rPr>
        <w:t>供应商</w:t>
      </w:r>
      <w:r>
        <w:rPr>
          <w:rFonts w:hint="eastAsia" w:ascii="宋体" w:hAnsi="宋体"/>
          <w:sz w:val="24"/>
        </w:rPr>
        <w:t>执二份。</w:t>
      </w:r>
    </w:p>
    <w:p>
      <w:pPr>
        <w:spacing w:line="400" w:lineRule="exact"/>
        <w:ind w:left="1" w:right="-224" w:rightChars="-112" w:firstLine="470" w:firstLineChars="196"/>
        <w:rPr>
          <w:rFonts w:ascii="宋体" w:hAnsi="宋体"/>
          <w:sz w:val="24"/>
        </w:rPr>
      </w:pPr>
      <w:r>
        <w:rPr>
          <w:rFonts w:hint="eastAsia" w:ascii="宋体" w:hAnsi="宋体"/>
          <w:sz w:val="24"/>
        </w:rPr>
        <w:t>3</w:t>
      </w:r>
      <w:r>
        <w:rPr>
          <w:rFonts w:hint="default" w:ascii="宋体" w:hAnsi="宋体"/>
          <w:sz w:val="24"/>
        </w:rPr>
        <w:t>.</w:t>
      </w:r>
      <w:r>
        <w:rPr>
          <w:rFonts w:hint="eastAsia" w:ascii="宋体" w:hAnsi="宋体"/>
          <w:sz w:val="24"/>
        </w:rPr>
        <w:t>未尽事宜，买卖双方协商解决。</w:t>
      </w:r>
    </w:p>
    <w:p>
      <w:pPr>
        <w:ind w:firstLine="482" w:firstLineChars="200"/>
        <w:rPr>
          <w:rFonts w:ascii="宋体" w:hAnsi="宋体"/>
          <w:b/>
          <w:sz w:val="28"/>
        </w:rPr>
      </w:pPr>
      <w:r>
        <w:rPr>
          <w:rFonts w:hint="eastAsia" w:ascii="宋体" w:hAnsi="宋体"/>
          <w:b/>
          <w:sz w:val="24"/>
        </w:rPr>
        <w:t>十七、供货说明</w:t>
      </w:r>
    </w:p>
    <w:p>
      <w:pPr>
        <w:spacing w:line="360" w:lineRule="auto"/>
        <w:ind w:firstLine="480" w:firstLineChars="200"/>
        <w:rPr>
          <w:rFonts w:ascii="宋体" w:hAnsi="宋体"/>
          <w:b/>
          <w:sz w:val="28"/>
        </w:rPr>
      </w:pPr>
      <w:r>
        <w:rPr>
          <w:rFonts w:hint="eastAsia" w:ascii="宋体" w:hAnsi="宋体"/>
          <w:sz w:val="24"/>
        </w:rPr>
        <w:t>（1）</w:t>
      </w:r>
      <w:r>
        <w:rPr>
          <w:rFonts w:hint="eastAsia" w:ascii="宋体" w:hAnsi="宋体"/>
          <w:sz w:val="24"/>
          <w:lang w:eastAsia="zh-CN"/>
        </w:rPr>
        <w:t>供应商</w:t>
      </w:r>
      <w:r>
        <w:rPr>
          <w:rFonts w:hint="eastAsia" w:ascii="宋体" w:hAnsi="宋体"/>
          <w:sz w:val="24"/>
        </w:rPr>
        <w:t>负责货物运送至施工现场，运费、装卸费、安装调试等均含在报价之中。</w:t>
      </w:r>
    </w:p>
    <w:p>
      <w:pPr>
        <w:spacing w:line="360" w:lineRule="auto"/>
        <w:ind w:firstLine="480" w:firstLineChars="200"/>
        <w:rPr>
          <w:rFonts w:ascii="宋体" w:hAnsi="宋体"/>
          <w:b/>
          <w:sz w:val="28"/>
        </w:rPr>
      </w:pPr>
      <w:r>
        <w:rPr>
          <w:rFonts w:hint="eastAsia" w:ascii="宋体" w:hAnsi="宋体"/>
          <w:sz w:val="24"/>
        </w:rPr>
        <w:t>（2）货物到工程施工现场，货物落地后验收。由于装卸运输造成损坏由</w:t>
      </w:r>
      <w:r>
        <w:rPr>
          <w:rFonts w:hint="eastAsia" w:ascii="宋体" w:hAnsi="宋体"/>
          <w:sz w:val="24"/>
          <w:lang w:eastAsia="zh-CN"/>
        </w:rPr>
        <w:t>供应商</w:t>
      </w:r>
      <w:r>
        <w:rPr>
          <w:rFonts w:hint="eastAsia" w:ascii="宋体" w:hAnsi="宋体"/>
          <w:sz w:val="24"/>
        </w:rPr>
        <w:t>负责。</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sz w:val="24"/>
          <w:lang w:val="en-US" w:eastAsia="zh-CN"/>
        </w:rPr>
        <w:t>3</w:t>
      </w:r>
      <w:r>
        <w:rPr>
          <w:rFonts w:hint="eastAsia" w:ascii="宋体" w:hAnsi="宋体"/>
          <w:sz w:val="24"/>
        </w:rPr>
        <w:t>）货物到工程现场后</w:t>
      </w:r>
      <w:r>
        <w:rPr>
          <w:rFonts w:hint="eastAsia" w:ascii="宋体" w:hAnsi="宋体"/>
          <w:sz w:val="24"/>
          <w:lang w:eastAsia="zh-CN"/>
        </w:rPr>
        <w:t>采购方</w:t>
      </w:r>
      <w:r>
        <w:rPr>
          <w:rFonts w:hint="eastAsia" w:ascii="宋体" w:hAnsi="宋体"/>
          <w:sz w:val="24"/>
        </w:rPr>
        <w:t>有权要求进行不定量抽检（费用包含在报价中），</w:t>
      </w:r>
      <w:r>
        <w:rPr>
          <w:rFonts w:hint="eastAsia" w:ascii="宋体" w:hAnsi="宋体"/>
          <w:sz w:val="24"/>
          <w:lang w:eastAsia="zh-CN"/>
        </w:rPr>
        <w:t>供应商</w:t>
      </w:r>
      <w:r>
        <w:rPr>
          <w:rFonts w:hint="eastAsia" w:ascii="宋体" w:hAnsi="宋体"/>
          <w:sz w:val="24"/>
        </w:rPr>
        <w:t>应予以配合。</w:t>
      </w:r>
    </w:p>
    <w:p>
      <w:pPr>
        <w:spacing w:line="360" w:lineRule="auto"/>
        <w:ind w:firstLine="480" w:firstLineChars="200"/>
        <w:rPr>
          <w:rFonts w:ascii="宋体" w:hAnsi="宋体"/>
          <w:sz w:val="24"/>
        </w:rPr>
      </w:pPr>
      <w:r>
        <w:rPr>
          <w:rFonts w:hint="eastAsia" w:ascii="宋体" w:hAnsi="宋体"/>
          <w:sz w:val="24"/>
        </w:rPr>
        <w:t>（</w:t>
      </w:r>
      <w:r>
        <w:rPr>
          <w:rFonts w:hint="eastAsia" w:ascii="宋体" w:hAnsi="宋体"/>
          <w:sz w:val="24"/>
          <w:lang w:val="en-US" w:eastAsia="zh-CN"/>
        </w:rPr>
        <w:t>4</w:t>
      </w:r>
      <w:r>
        <w:rPr>
          <w:rFonts w:hint="eastAsia" w:ascii="宋体" w:hAnsi="宋体"/>
          <w:sz w:val="24"/>
        </w:rPr>
        <w:t>）标项总报价为标的物可以直接使用的价格。包括：包装、保险、税金、检测、运输、装车、备品备件、技术指导等一切费用。</w:t>
      </w:r>
    </w:p>
    <w:p>
      <w:pPr>
        <w:spacing w:line="360" w:lineRule="auto"/>
        <w:ind w:right="-200" w:rightChars="-100" w:firstLine="480" w:firstLineChars="200"/>
        <w:rPr>
          <w:rFonts w:ascii="宋体" w:hAnsi="宋体"/>
          <w:sz w:val="24"/>
        </w:rPr>
      </w:pPr>
      <w:r>
        <w:rPr>
          <w:rFonts w:hint="eastAsia" w:ascii="宋体" w:hAnsi="宋体"/>
          <w:sz w:val="24"/>
        </w:rPr>
        <w:t>（</w:t>
      </w:r>
      <w:r>
        <w:rPr>
          <w:rFonts w:hint="eastAsia" w:ascii="宋体" w:hAnsi="宋体"/>
          <w:sz w:val="24"/>
          <w:lang w:val="en-US" w:eastAsia="zh-CN"/>
        </w:rPr>
        <w:t>5</w:t>
      </w:r>
      <w:r>
        <w:rPr>
          <w:rFonts w:hint="eastAsia" w:ascii="宋体" w:hAnsi="宋体"/>
          <w:sz w:val="24"/>
        </w:rPr>
        <w:t>）中标人应按合同（除采购人有特殊要求说明和标项内说明外）在规定时间内供货。若有延期，每超过一天，扣中标价2‰的违约金给采购人。</w:t>
      </w:r>
    </w:p>
    <w:p>
      <w:pPr>
        <w:pStyle w:val="16"/>
        <w:spacing w:line="360" w:lineRule="auto"/>
        <w:ind w:left="0" w:leftChars="0" w:right="-200" w:rightChars="-100" w:firstLine="480" w:firstLineChars="200"/>
        <w:rPr>
          <w:color w:val="auto"/>
        </w:rPr>
      </w:pPr>
      <w:r>
        <w:rPr>
          <w:rFonts w:hint="eastAsia"/>
          <w:color w:val="auto"/>
        </w:rPr>
        <w:t>（</w:t>
      </w:r>
      <w:r>
        <w:rPr>
          <w:rFonts w:hint="eastAsia"/>
          <w:color w:val="auto"/>
          <w:lang w:val="en-US" w:eastAsia="zh-CN"/>
        </w:rPr>
        <w:t>6</w:t>
      </w:r>
      <w:r>
        <w:rPr>
          <w:rFonts w:hint="eastAsia"/>
          <w:color w:val="auto"/>
        </w:rPr>
        <w:t>）中标人提供的中标物品，必须符合本招标文件要求、原包装送达采购单位；如有不符，采购人可以无条件退货，所造成的损失由中标人承担。更换后的物品质保期按更换日起顺延。</w:t>
      </w:r>
    </w:p>
    <w:p>
      <w:pPr>
        <w:spacing w:line="360" w:lineRule="auto"/>
        <w:ind w:right="-200" w:rightChars="-100" w:firstLine="480" w:firstLineChars="200"/>
        <w:rPr>
          <w:rFonts w:hint="eastAsia" w:ascii="宋体" w:hAnsi="宋体"/>
          <w:sz w:val="24"/>
          <w:lang w:eastAsia="zh-CN"/>
        </w:rPr>
      </w:pPr>
      <w:r>
        <w:rPr>
          <w:rFonts w:hint="eastAsia" w:ascii="宋体" w:hAnsi="宋体"/>
          <w:sz w:val="24"/>
        </w:rPr>
        <w:t>（</w:t>
      </w:r>
      <w:r>
        <w:rPr>
          <w:rFonts w:hint="eastAsia" w:ascii="宋体" w:hAnsi="宋体"/>
          <w:sz w:val="24"/>
          <w:lang w:val="en-US" w:eastAsia="zh-CN"/>
        </w:rPr>
        <w:t>7</w:t>
      </w:r>
      <w:r>
        <w:rPr>
          <w:rFonts w:hint="eastAsia" w:ascii="宋体" w:hAnsi="宋体"/>
          <w:sz w:val="24"/>
        </w:rPr>
        <w:t>）采购的物品，均按国家三包修规定实行保修（除标项内已有说明外）。在</w:t>
      </w:r>
      <w:r>
        <w:rPr>
          <w:rFonts w:hint="default" w:ascii="宋体" w:hAnsi="宋体"/>
          <w:sz w:val="24"/>
        </w:rPr>
        <w:t>质保期</w:t>
      </w:r>
      <w:r>
        <w:rPr>
          <w:rFonts w:hint="eastAsia" w:ascii="宋体" w:hAnsi="宋体"/>
          <w:sz w:val="24"/>
        </w:rPr>
        <w:t>内，如出现质量问题，供货单位在接到电话后，在2小时内响应，6个工作小时内到达，12个工作小时内不能修复的，则无偿更换有质量问题的原材料</w:t>
      </w:r>
      <w:r>
        <w:rPr>
          <w:rFonts w:hint="eastAsia" w:ascii="宋体" w:hAnsi="宋体"/>
          <w:sz w:val="24"/>
          <w:lang w:eastAsia="zh-CN"/>
        </w:rPr>
        <w:t>。</w:t>
      </w:r>
    </w:p>
    <w:p>
      <w:pPr>
        <w:pStyle w:val="2"/>
        <w:rPr>
          <w:rFonts w:hint="eastAsia"/>
          <w:lang w:eastAsia="zh-CN"/>
        </w:rPr>
      </w:pPr>
    </w:p>
    <w:tbl>
      <w:tblPr>
        <w:tblStyle w:val="26"/>
        <w:tblW w:w="9180" w:type="dxa"/>
        <w:jc w:val="center"/>
        <w:tblLayout w:type="fixed"/>
        <w:tblCellMar>
          <w:top w:w="0" w:type="dxa"/>
          <w:left w:w="108" w:type="dxa"/>
          <w:bottom w:w="0" w:type="dxa"/>
          <w:right w:w="108" w:type="dxa"/>
        </w:tblCellMar>
      </w:tblPr>
      <w:tblGrid>
        <w:gridCol w:w="4680"/>
        <w:gridCol w:w="4500"/>
      </w:tblGrid>
      <w:tr>
        <w:tblPrEx>
          <w:tblCellMar>
            <w:top w:w="0" w:type="dxa"/>
            <w:left w:w="108" w:type="dxa"/>
            <w:bottom w:w="0" w:type="dxa"/>
            <w:right w:w="108" w:type="dxa"/>
          </w:tblCellMar>
        </w:tblPrEx>
        <w:trPr>
          <w:jc w:val="center"/>
        </w:trPr>
        <w:tc>
          <w:tcPr>
            <w:tcW w:w="4680" w:type="dxa"/>
            <w:tcBorders>
              <w:top w:val="single" w:color="auto" w:sz="6" w:space="0"/>
              <w:left w:val="single" w:color="auto" w:sz="6" w:space="0"/>
              <w:bottom w:val="single" w:color="auto" w:sz="6" w:space="0"/>
              <w:right w:val="single" w:color="auto" w:sz="6" w:space="0"/>
            </w:tcBorders>
          </w:tcPr>
          <w:p>
            <w:pPr>
              <w:autoSpaceDE w:val="0"/>
              <w:autoSpaceDN w:val="0"/>
              <w:adjustRightInd w:val="0"/>
              <w:ind w:firstLine="1687" w:firstLineChars="700"/>
              <w:rPr>
                <w:rFonts w:ascii="宋体" w:hAnsi="宋体" w:cs="宋体"/>
                <w:b/>
                <w:sz w:val="24"/>
              </w:rPr>
            </w:pPr>
            <w:r>
              <w:rPr>
                <w:rFonts w:hint="eastAsia" w:ascii="宋体" w:hAnsi="宋体" w:cs="宋体"/>
                <w:b/>
                <w:sz w:val="24"/>
                <w:lang w:val="zh-CN"/>
              </w:rPr>
              <w:t>供应商人</w:t>
            </w:r>
          </w:p>
          <w:p>
            <w:pPr>
              <w:autoSpaceDE w:val="0"/>
              <w:autoSpaceDN w:val="0"/>
              <w:adjustRightInd w:val="0"/>
              <w:rPr>
                <w:rFonts w:ascii="宋体" w:hAnsi="宋体" w:cs="宋体"/>
                <w:sz w:val="24"/>
                <w:lang w:val="zh-CN"/>
              </w:rPr>
            </w:pPr>
            <w:r>
              <w:rPr>
                <w:rFonts w:hint="eastAsia" w:ascii="宋体" w:hAnsi="宋体" w:cs="宋体"/>
                <w:sz w:val="24"/>
                <w:lang w:val="zh-CN"/>
              </w:rPr>
              <w:t>单位名称（盖章）：</w:t>
            </w:r>
          </w:p>
          <w:p>
            <w:pPr>
              <w:autoSpaceDE w:val="0"/>
              <w:autoSpaceDN w:val="0"/>
              <w:adjustRightInd w:val="0"/>
              <w:rPr>
                <w:rFonts w:ascii="宋体" w:hAnsi="宋体" w:cs="宋体"/>
                <w:sz w:val="24"/>
              </w:rPr>
            </w:pPr>
            <w:r>
              <w:rPr>
                <w:rFonts w:hint="eastAsia" w:ascii="宋体" w:hAnsi="宋体" w:cs="宋体"/>
                <w:sz w:val="24"/>
                <w:lang w:val="zh-CN"/>
              </w:rPr>
              <w:t>地址：</w:t>
            </w:r>
            <w:r>
              <w:rPr>
                <w:rFonts w:hint="eastAsia" w:ascii="宋体" w:hAnsi="宋体" w:cs="宋体"/>
                <w:sz w:val="24"/>
              </w:rPr>
              <w:t xml:space="preserve"> </w:t>
            </w:r>
          </w:p>
          <w:p>
            <w:pPr>
              <w:autoSpaceDE w:val="0"/>
              <w:autoSpaceDN w:val="0"/>
              <w:adjustRightInd w:val="0"/>
              <w:rPr>
                <w:rFonts w:ascii="宋体" w:hAnsi="宋体" w:cs="宋体"/>
                <w:sz w:val="24"/>
              </w:rPr>
            </w:pPr>
            <w:r>
              <w:rPr>
                <w:rFonts w:hint="eastAsia" w:ascii="宋体" w:hAnsi="宋体" w:cs="宋体"/>
                <w:sz w:val="24"/>
                <w:lang w:val="zh-CN"/>
              </w:rPr>
              <w:t>法人代表或委托代理人：</w:t>
            </w:r>
          </w:p>
          <w:p>
            <w:pPr>
              <w:autoSpaceDE w:val="0"/>
              <w:autoSpaceDN w:val="0"/>
              <w:adjustRightInd w:val="0"/>
              <w:rPr>
                <w:rFonts w:ascii="宋体" w:hAnsi="宋体" w:cs="宋体"/>
                <w:sz w:val="24"/>
              </w:rPr>
            </w:pPr>
            <w:r>
              <w:rPr>
                <w:rFonts w:hint="eastAsia" w:ascii="宋体" w:hAnsi="宋体" w:cs="宋体"/>
                <w:sz w:val="24"/>
                <w:lang w:val="zh-CN"/>
              </w:rPr>
              <w:t>电话：</w:t>
            </w:r>
            <w:r>
              <w:rPr>
                <w:rFonts w:hint="eastAsia" w:ascii="宋体" w:hAnsi="宋体" w:cs="宋体"/>
                <w:sz w:val="24"/>
              </w:rPr>
              <w:t xml:space="preserve"> </w:t>
            </w:r>
          </w:p>
          <w:p>
            <w:pPr>
              <w:autoSpaceDE w:val="0"/>
              <w:autoSpaceDN w:val="0"/>
              <w:adjustRightInd w:val="0"/>
              <w:rPr>
                <w:rFonts w:ascii="宋体" w:hAnsi="宋体" w:cs="宋体"/>
                <w:sz w:val="24"/>
              </w:rPr>
            </w:pPr>
            <w:r>
              <w:rPr>
                <w:rFonts w:hint="eastAsia" w:ascii="宋体" w:hAnsi="宋体" w:cs="宋体"/>
                <w:sz w:val="24"/>
                <w:lang w:val="zh-CN"/>
              </w:rPr>
              <w:t>传真：</w:t>
            </w:r>
          </w:p>
          <w:p>
            <w:pPr>
              <w:autoSpaceDE w:val="0"/>
              <w:autoSpaceDN w:val="0"/>
              <w:adjustRightInd w:val="0"/>
              <w:rPr>
                <w:rFonts w:ascii="宋体" w:hAnsi="宋体" w:cs="宋体"/>
                <w:sz w:val="24"/>
              </w:rPr>
            </w:pPr>
            <w:r>
              <w:rPr>
                <w:rFonts w:hint="eastAsia" w:ascii="宋体" w:hAnsi="宋体" w:cs="宋体"/>
                <w:sz w:val="24"/>
                <w:lang w:val="zh-CN"/>
              </w:rPr>
              <w:t>开户银行：</w:t>
            </w:r>
          </w:p>
          <w:p>
            <w:pPr>
              <w:autoSpaceDE w:val="0"/>
              <w:autoSpaceDN w:val="0"/>
              <w:adjustRightInd w:val="0"/>
              <w:rPr>
                <w:rFonts w:ascii="宋体" w:hAnsi="宋体" w:cs="宋体"/>
                <w:sz w:val="24"/>
              </w:rPr>
            </w:pPr>
            <w:r>
              <w:rPr>
                <w:rFonts w:hint="eastAsia" w:ascii="宋体" w:hAnsi="宋体" w:cs="宋体"/>
                <w:sz w:val="24"/>
                <w:lang w:val="zh-CN"/>
              </w:rPr>
              <w:t>帐号：</w:t>
            </w:r>
          </w:p>
          <w:p>
            <w:pPr>
              <w:autoSpaceDE w:val="0"/>
              <w:autoSpaceDN w:val="0"/>
              <w:adjustRightInd w:val="0"/>
              <w:rPr>
                <w:rFonts w:ascii="宋体" w:hAnsi="宋体" w:cs="宋体"/>
                <w:sz w:val="24"/>
              </w:rPr>
            </w:pPr>
            <w:r>
              <w:rPr>
                <w:rFonts w:hint="eastAsia" w:ascii="宋体" w:hAnsi="宋体" w:cs="宋体"/>
                <w:sz w:val="24"/>
                <w:lang w:val="zh-CN"/>
              </w:rPr>
              <w:t>邮政编码：</w:t>
            </w:r>
          </w:p>
          <w:p>
            <w:pPr>
              <w:autoSpaceDE w:val="0"/>
              <w:autoSpaceDN w:val="0"/>
              <w:adjustRightInd w:val="0"/>
              <w:rPr>
                <w:rFonts w:ascii="宋体" w:hAnsi="宋体" w:cs="宋体"/>
                <w:sz w:val="24"/>
              </w:rPr>
            </w:pPr>
          </w:p>
        </w:tc>
        <w:tc>
          <w:tcPr>
            <w:tcW w:w="4500" w:type="dxa"/>
            <w:tcBorders>
              <w:top w:val="single" w:color="auto" w:sz="6" w:space="0"/>
              <w:left w:val="single" w:color="auto" w:sz="6" w:space="0"/>
              <w:bottom w:val="single" w:color="auto" w:sz="6" w:space="0"/>
              <w:right w:val="single" w:color="auto" w:sz="6" w:space="0"/>
            </w:tcBorders>
          </w:tcPr>
          <w:p>
            <w:pPr>
              <w:autoSpaceDE w:val="0"/>
              <w:autoSpaceDN w:val="0"/>
              <w:adjustRightInd w:val="0"/>
              <w:ind w:firstLine="1687" w:firstLineChars="700"/>
              <w:rPr>
                <w:rFonts w:ascii="宋体" w:hAnsi="宋体" w:cs="宋体"/>
                <w:b/>
                <w:sz w:val="24"/>
              </w:rPr>
            </w:pPr>
            <w:r>
              <w:rPr>
                <w:rFonts w:hint="eastAsia" w:ascii="宋体" w:hAnsi="宋体" w:cs="宋体"/>
                <w:b/>
                <w:sz w:val="24"/>
                <w:lang w:val="zh-CN"/>
              </w:rPr>
              <w:t>采购方人</w:t>
            </w:r>
          </w:p>
          <w:p>
            <w:pPr>
              <w:autoSpaceDE w:val="0"/>
              <w:autoSpaceDN w:val="0"/>
              <w:adjustRightInd w:val="0"/>
              <w:rPr>
                <w:rFonts w:ascii="宋体" w:hAnsi="宋体" w:cs="宋体"/>
                <w:sz w:val="24"/>
              </w:rPr>
            </w:pPr>
            <w:r>
              <w:rPr>
                <w:rFonts w:hint="eastAsia" w:ascii="宋体" w:hAnsi="宋体" w:cs="宋体"/>
                <w:sz w:val="24"/>
                <w:lang w:val="zh-CN"/>
              </w:rPr>
              <w:t>单位名称（盖章）：</w:t>
            </w:r>
          </w:p>
          <w:p>
            <w:pPr>
              <w:autoSpaceDE w:val="0"/>
              <w:autoSpaceDN w:val="0"/>
              <w:adjustRightInd w:val="0"/>
              <w:rPr>
                <w:rFonts w:ascii="宋体" w:hAnsi="宋体" w:cs="宋体"/>
                <w:sz w:val="24"/>
              </w:rPr>
            </w:pPr>
            <w:r>
              <w:rPr>
                <w:rFonts w:hint="eastAsia" w:ascii="宋体" w:hAnsi="宋体" w:cs="宋体"/>
                <w:sz w:val="24"/>
                <w:lang w:val="zh-CN"/>
              </w:rPr>
              <w:t>地址</w:t>
            </w:r>
            <w:r>
              <w:rPr>
                <w:rFonts w:hint="eastAsia" w:ascii="宋体" w:hAnsi="宋体" w:cs="宋体"/>
                <w:sz w:val="24"/>
              </w:rPr>
              <w:t>：</w:t>
            </w:r>
          </w:p>
          <w:p>
            <w:pPr>
              <w:autoSpaceDE w:val="0"/>
              <w:autoSpaceDN w:val="0"/>
              <w:adjustRightInd w:val="0"/>
              <w:rPr>
                <w:rFonts w:ascii="宋体" w:hAnsi="宋体" w:cs="宋体"/>
                <w:sz w:val="24"/>
              </w:rPr>
            </w:pPr>
            <w:r>
              <w:rPr>
                <w:rFonts w:hint="eastAsia" w:ascii="宋体" w:hAnsi="宋体" w:cs="宋体"/>
                <w:sz w:val="24"/>
                <w:lang w:val="zh-CN"/>
              </w:rPr>
              <w:t>法人代表或委托代理人</w:t>
            </w:r>
            <w:r>
              <w:rPr>
                <w:rFonts w:hint="eastAsia" w:ascii="宋体" w:hAnsi="宋体" w:cs="宋体"/>
                <w:sz w:val="24"/>
              </w:rPr>
              <w:t>：</w:t>
            </w:r>
          </w:p>
          <w:p>
            <w:pPr>
              <w:autoSpaceDE w:val="0"/>
              <w:autoSpaceDN w:val="0"/>
              <w:adjustRightInd w:val="0"/>
              <w:rPr>
                <w:rFonts w:ascii="宋体" w:hAnsi="宋体" w:cs="宋体"/>
                <w:sz w:val="24"/>
              </w:rPr>
            </w:pPr>
            <w:r>
              <w:rPr>
                <w:rFonts w:hint="eastAsia" w:ascii="宋体" w:hAnsi="宋体" w:cs="宋体"/>
                <w:sz w:val="24"/>
                <w:lang w:val="zh-CN"/>
              </w:rPr>
              <w:t>电话：</w:t>
            </w:r>
            <w:r>
              <w:rPr>
                <w:rFonts w:hint="eastAsia" w:ascii="宋体" w:hAnsi="宋体" w:cs="宋体"/>
                <w:sz w:val="24"/>
              </w:rPr>
              <w:t xml:space="preserve"> </w:t>
            </w:r>
          </w:p>
          <w:p>
            <w:pPr>
              <w:autoSpaceDE w:val="0"/>
              <w:autoSpaceDN w:val="0"/>
              <w:adjustRightInd w:val="0"/>
              <w:rPr>
                <w:rFonts w:ascii="宋体" w:hAnsi="宋体" w:cs="宋体"/>
                <w:sz w:val="24"/>
              </w:rPr>
            </w:pPr>
            <w:r>
              <w:rPr>
                <w:rFonts w:hint="eastAsia" w:ascii="宋体" w:hAnsi="宋体" w:cs="宋体"/>
                <w:sz w:val="24"/>
                <w:lang w:val="zh-CN"/>
              </w:rPr>
              <w:t>传真：</w:t>
            </w:r>
            <w:r>
              <w:rPr>
                <w:rFonts w:hint="eastAsia" w:ascii="宋体" w:hAnsi="宋体" w:cs="宋体"/>
                <w:sz w:val="24"/>
              </w:rPr>
              <w:t xml:space="preserve"> </w:t>
            </w:r>
          </w:p>
          <w:p>
            <w:pPr>
              <w:autoSpaceDE w:val="0"/>
              <w:autoSpaceDN w:val="0"/>
              <w:adjustRightInd w:val="0"/>
              <w:rPr>
                <w:rFonts w:ascii="宋体" w:hAnsi="宋体" w:cs="宋体"/>
                <w:sz w:val="24"/>
              </w:rPr>
            </w:pPr>
            <w:r>
              <w:rPr>
                <w:rFonts w:hint="eastAsia" w:ascii="宋体" w:hAnsi="宋体" w:cs="宋体"/>
                <w:sz w:val="24"/>
                <w:lang w:val="zh-CN"/>
              </w:rPr>
              <w:t>开户银行：</w:t>
            </w:r>
            <w:r>
              <w:rPr>
                <w:rFonts w:hint="eastAsia" w:ascii="宋体" w:hAnsi="宋体" w:cs="宋体"/>
                <w:sz w:val="24"/>
              </w:rPr>
              <w:t xml:space="preserve"> </w:t>
            </w:r>
          </w:p>
          <w:p>
            <w:pPr>
              <w:autoSpaceDE w:val="0"/>
              <w:autoSpaceDN w:val="0"/>
              <w:adjustRightInd w:val="0"/>
              <w:rPr>
                <w:rFonts w:ascii="宋体" w:hAnsi="宋体" w:cs="宋体"/>
                <w:sz w:val="24"/>
              </w:rPr>
            </w:pPr>
            <w:r>
              <w:rPr>
                <w:rFonts w:hint="eastAsia" w:ascii="宋体" w:hAnsi="宋体" w:cs="宋体"/>
                <w:sz w:val="24"/>
                <w:lang w:val="zh-CN"/>
              </w:rPr>
              <w:t>帐号：</w:t>
            </w:r>
            <w:r>
              <w:rPr>
                <w:rFonts w:hint="eastAsia" w:ascii="宋体" w:hAnsi="宋体" w:cs="宋体"/>
                <w:sz w:val="24"/>
              </w:rPr>
              <w:t xml:space="preserve"> </w:t>
            </w:r>
          </w:p>
          <w:p>
            <w:pPr>
              <w:autoSpaceDE w:val="0"/>
              <w:autoSpaceDN w:val="0"/>
              <w:adjustRightInd w:val="0"/>
              <w:rPr>
                <w:rFonts w:ascii="宋体" w:hAnsi="宋体" w:cs="宋体"/>
                <w:sz w:val="24"/>
              </w:rPr>
            </w:pPr>
            <w:r>
              <w:rPr>
                <w:rFonts w:hint="eastAsia" w:ascii="宋体" w:hAnsi="宋体" w:cs="宋体"/>
                <w:sz w:val="24"/>
                <w:lang w:val="zh-CN"/>
              </w:rPr>
              <w:t>邮政编码：</w:t>
            </w:r>
            <w:r>
              <w:rPr>
                <w:rFonts w:hint="eastAsia" w:ascii="宋体" w:hAnsi="宋体" w:cs="宋体"/>
                <w:sz w:val="24"/>
              </w:rPr>
              <w:t xml:space="preserve"> </w:t>
            </w:r>
          </w:p>
        </w:tc>
      </w:tr>
    </w:tbl>
    <w:p>
      <w:pPr>
        <w:spacing w:line="336" w:lineRule="auto"/>
        <w:ind w:firstLine="1080" w:firstLineChars="300"/>
        <w:jc w:val="left"/>
        <w:rPr>
          <w:rFonts w:asciiTheme="minorEastAsia" w:hAnsiTheme="minorEastAsia" w:eastAsiaTheme="minorEastAsia"/>
        </w:rPr>
      </w:pPr>
      <w:r>
        <w:rPr>
          <w:rFonts w:hint="eastAsia" w:asciiTheme="minorEastAsia" w:hAnsiTheme="minorEastAsia" w:eastAsiaTheme="minorEastAsia"/>
          <w:sz w:val="36"/>
          <w:szCs w:val="36"/>
        </w:rPr>
        <w:br w:type="page"/>
      </w:r>
    </w:p>
    <w:p>
      <w:pPr>
        <w:rPr>
          <w:rFonts w:asciiTheme="minorEastAsia" w:hAnsiTheme="minorEastAsia" w:eastAsiaTheme="minorEastAsia"/>
        </w:rPr>
      </w:pPr>
    </w:p>
    <w:p>
      <w:pPr>
        <w:pStyle w:val="5"/>
        <w:jc w:val="center"/>
        <w:rPr>
          <w:rFonts w:cs="Times New Roman" w:asciiTheme="minorEastAsia" w:hAnsiTheme="minorEastAsia" w:eastAsiaTheme="minorEastAsia"/>
          <w:sz w:val="36"/>
          <w:szCs w:val="36"/>
        </w:rPr>
      </w:pPr>
      <w:bookmarkStart w:id="99" w:name="_Toc4669"/>
      <w:bookmarkStart w:id="100" w:name="_Toc110244180"/>
      <w:bookmarkStart w:id="101" w:name="_Toc7690"/>
      <w:r>
        <w:rPr>
          <w:rFonts w:hint="eastAsia" w:cs="宋体" w:asciiTheme="minorEastAsia" w:hAnsiTheme="minorEastAsia" w:eastAsiaTheme="minorEastAsia"/>
          <w:sz w:val="36"/>
          <w:szCs w:val="36"/>
        </w:rPr>
        <w:t>第六部分应提交的有关格式范例</w:t>
      </w:r>
      <w:bookmarkEnd w:id="99"/>
      <w:bookmarkEnd w:id="100"/>
      <w:bookmarkEnd w:id="101"/>
    </w:p>
    <w:p>
      <w:pPr>
        <w:spacing w:line="360" w:lineRule="auto"/>
        <w:ind w:firstLine="480" w:firstLineChars="200"/>
        <w:outlineLvl w:val="0"/>
        <w:rPr>
          <w:rFonts w:asciiTheme="minorEastAsia" w:hAnsiTheme="minorEastAsia" w:eastAsiaTheme="minorEastAsia"/>
          <w:sz w:val="24"/>
          <w:szCs w:val="24"/>
        </w:rPr>
      </w:pPr>
    </w:p>
    <w:p>
      <w:pPr>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供应商按照以下格式编制响应文件，</w:t>
      </w:r>
      <w:r>
        <w:rPr>
          <w:rFonts w:hint="eastAsia" w:cs="宋体" w:asciiTheme="minorEastAsia" w:hAnsiTheme="minorEastAsia" w:eastAsiaTheme="minorEastAsia"/>
          <w:b/>
          <w:bCs/>
          <w:sz w:val="24"/>
          <w:szCs w:val="24"/>
        </w:rPr>
        <w:t>“资格文件”、“商务技术文件”、“报价文件”须分</w:t>
      </w:r>
      <w:r>
        <w:rPr>
          <w:rFonts w:cs="宋体" w:asciiTheme="minorEastAsia" w:hAnsiTheme="minorEastAsia" w:eastAsiaTheme="minorEastAsia"/>
          <w:b/>
          <w:bCs/>
          <w:sz w:val="24"/>
          <w:szCs w:val="24"/>
        </w:rPr>
        <w:t>3</w:t>
      </w:r>
      <w:r>
        <w:rPr>
          <w:rFonts w:hint="eastAsia" w:cs="宋体" w:asciiTheme="minorEastAsia" w:hAnsiTheme="minorEastAsia" w:eastAsiaTheme="minorEastAsia"/>
          <w:b/>
          <w:bCs/>
          <w:sz w:val="24"/>
          <w:szCs w:val="24"/>
        </w:rPr>
        <w:t>个</w:t>
      </w:r>
      <w:r>
        <w:rPr>
          <w:rFonts w:cs="宋体" w:asciiTheme="minorEastAsia" w:hAnsiTheme="minorEastAsia" w:eastAsiaTheme="minorEastAsia"/>
          <w:b/>
          <w:bCs/>
          <w:sz w:val="24"/>
          <w:szCs w:val="24"/>
        </w:rPr>
        <w:t>PDF</w:t>
      </w:r>
      <w:r>
        <w:rPr>
          <w:rFonts w:hint="eastAsia" w:cs="宋体" w:asciiTheme="minorEastAsia" w:hAnsiTheme="minorEastAsia" w:eastAsiaTheme="minorEastAsia"/>
          <w:b/>
          <w:bCs/>
          <w:sz w:val="24"/>
          <w:szCs w:val="24"/>
        </w:rPr>
        <w:t>格式分别导入。</w:t>
      </w:r>
    </w:p>
    <w:p>
      <w:pPr>
        <w:spacing w:line="360" w:lineRule="auto"/>
        <w:ind w:firstLine="482" w:firstLineChars="200"/>
        <w:rPr>
          <w:rFonts w:asciiTheme="minorEastAsia" w:hAnsiTheme="minorEastAsia" w:eastAsiaTheme="minorEastAsia"/>
          <w:b/>
          <w:bCs/>
          <w:sz w:val="24"/>
          <w:szCs w:val="24"/>
        </w:rPr>
      </w:pPr>
      <w:r>
        <w:rPr>
          <w:rFonts w:hint="eastAsia" w:cs="宋体" w:asciiTheme="minorEastAsia" w:hAnsiTheme="minorEastAsia" w:eastAsiaTheme="minorEastAsia"/>
          <w:b/>
          <w:bCs/>
          <w:sz w:val="24"/>
          <w:szCs w:val="24"/>
        </w:rPr>
        <w:t>此格式内容仅为参考模板，具体内容供应商应根据询价文件要求进行调整。未按以下格式编制响应文件或因格式不规范、页码不清等原因引发的一切后果由供应商自行承担。</w:t>
      </w:r>
    </w:p>
    <w:p>
      <w:pPr>
        <w:spacing w:line="360" w:lineRule="auto"/>
        <w:jc w:val="center"/>
        <w:rPr>
          <w:rFonts w:asciiTheme="minorEastAsia" w:hAnsiTheme="minorEastAsia" w:eastAsiaTheme="minorEastAsia"/>
          <w:b/>
          <w:bCs/>
          <w:sz w:val="36"/>
          <w:szCs w:val="36"/>
        </w:rPr>
      </w:pPr>
      <w:r>
        <w:rPr>
          <w:rFonts w:asciiTheme="minorEastAsia" w:hAnsiTheme="minorEastAsia" w:eastAsiaTheme="minorEastAsia"/>
          <w:b/>
          <w:bCs/>
          <w:sz w:val="24"/>
          <w:szCs w:val="24"/>
        </w:rPr>
        <w:br w:type="page"/>
      </w:r>
      <w:r>
        <w:rPr>
          <w:rFonts w:hint="eastAsia" w:cs="宋体" w:asciiTheme="minorEastAsia" w:hAnsiTheme="minorEastAsia" w:eastAsiaTheme="minorEastAsia"/>
          <w:b/>
          <w:bCs/>
          <w:sz w:val="36"/>
          <w:szCs w:val="36"/>
        </w:rPr>
        <w:t>资格文件部分</w:t>
      </w:r>
    </w:p>
    <w:p>
      <w:pPr>
        <w:spacing w:line="360" w:lineRule="auto"/>
        <w:jc w:val="center"/>
        <w:rPr>
          <w:rFonts w:asciiTheme="minorEastAsia" w:hAnsiTheme="minorEastAsia" w:eastAsiaTheme="minorEastAsia"/>
          <w:b/>
          <w:bCs/>
          <w:sz w:val="36"/>
          <w:szCs w:val="36"/>
        </w:rPr>
      </w:pPr>
    </w:p>
    <w:p>
      <w:pPr>
        <w:spacing w:line="360" w:lineRule="auto"/>
        <w:jc w:val="center"/>
        <w:rPr>
          <w:rFonts w:asciiTheme="minorEastAsia" w:hAnsiTheme="minorEastAsia" w:eastAsiaTheme="minorEastAsia"/>
          <w:b/>
          <w:bCs/>
          <w:sz w:val="36"/>
          <w:szCs w:val="36"/>
        </w:rPr>
      </w:pPr>
      <w:r>
        <w:rPr>
          <w:rFonts w:hint="eastAsia" w:cs="宋体" w:asciiTheme="minorEastAsia" w:hAnsiTheme="minorEastAsia" w:eastAsiaTheme="minorEastAsia"/>
          <w:b/>
          <w:bCs/>
          <w:sz w:val="36"/>
          <w:szCs w:val="36"/>
        </w:rPr>
        <w:t>目录</w:t>
      </w:r>
    </w:p>
    <w:p>
      <w:pPr>
        <w:pStyle w:val="52"/>
        <w:numPr>
          <w:ilvl w:val="0"/>
          <w:numId w:val="18"/>
        </w:numPr>
        <w:spacing w:before="0"/>
        <w:ind w:firstLine="480"/>
        <w:rPr>
          <w:rFonts w:ascii="宋体" w:hAnsi="宋体" w:cs="宋体"/>
        </w:rPr>
      </w:pPr>
      <w:r>
        <w:rPr>
          <w:rFonts w:hint="eastAsia" w:ascii="宋体" w:hAnsi="宋体" w:cs="宋体"/>
        </w:rPr>
        <w:t>法定代表人授权书（格式见附件，</w:t>
      </w:r>
      <w:r>
        <w:rPr>
          <w:rFonts w:hint="eastAsia"/>
          <w:b/>
          <w:bCs/>
        </w:rPr>
        <w:t>若联合体投标须提供联合体牵头人法定代表人授权书</w:t>
      </w:r>
      <w:r>
        <w:rPr>
          <w:rFonts w:hint="eastAsia" w:ascii="宋体" w:hAnsi="宋体" w:cs="宋体"/>
        </w:rPr>
        <w:t>）；如法定代表人直接参加询价并对相应文件签字的（签字是指线下签字扫描后上传或者线上进行电子签章），只需提供其身份证复印件，否则则应提供授权代表身份证复印件；</w:t>
      </w:r>
    </w:p>
    <w:p>
      <w:pPr>
        <w:pStyle w:val="52"/>
        <w:numPr>
          <w:ilvl w:val="0"/>
          <w:numId w:val="18"/>
        </w:numPr>
        <w:spacing w:before="0"/>
        <w:ind w:firstLine="480"/>
        <w:rPr>
          <w:rFonts w:ascii="宋体" w:hAnsi="宋体" w:cs="宋体"/>
        </w:rPr>
      </w:pPr>
      <w:r>
        <w:rPr>
          <w:rFonts w:hint="eastAsia" w:ascii="宋体" w:hAnsi="宋体" w:cs="宋体"/>
        </w:rPr>
        <w:t>营业执照</w:t>
      </w:r>
      <w:r>
        <w:rPr>
          <w:rFonts w:hint="eastAsia" w:ascii="宋体" w:hAnsi="宋体" w:cs="宋体"/>
          <w:b/>
          <w:bCs/>
        </w:rPr>
        <w:t>（若联合体投标须提供联合体牵头人及全体成员的营业执照）</w:t>
      </w:r>
      <w:r>
        <w:rPr>
          <w:rFonts w:hint="eastAsia" w:ascii="宋体" w:hAnsi="宋体" w:cs="宋体"/>
        </w:rPr>
        <w:t>(或事业法人登记证或其他工商等登记证明材料)复印件、税务登记证(或其它缴纳证明材料)复印件、社保登记证（或其它缴纳证明材料）复印件；实施“五证合一、一照一码”登记制度改革的，只需提供改革后取得的营业执照复印件；事业单位的，则提供有效的《事业单位法人证书》副本复印件并加盖单位公章；</w:t>
      </w:r>
    </w:p>
    <w:p>
      <w:pPr>
        <w:pStyle w:val="52"/>
        <w:spacing w:before="0"/>
        <w:ind w:firstLine="480"/>
        <w:rPr>
          <w:rFonts w:ascii="宋体" w:hAnsi="宋体" w:cs="宋体"/>
        </w:rPr>
      </w:pPr>
      <w:r>
        <w:rPr>
          <w:rFonts w:hint="eastAsia" w:ascii="宋体" w:hAnsi="宋体" w:cs="宋体"/>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询价响应文件中提供相关材料），证明其具备实际承担责任的能力和法定的缔结合同能力，可以独立参加采购活动，由单位负责人签署相关文件材料；</w:t>
      </w:r>
    </w:p>
    <w:p>
      <w:pPr>
        <w:pStyle w:val="52"/>
        <w:numPr>
          <w:ilvl w:val="0"/>
          <w:numId w:val="18"/>
        </w:numPr>
        <w:spacing w:before="0"/>
        <w:ind w:firstLine="480"/>
        <w:rPr>
          <w:rFonts w:ascii="宋体" w:hAnsi="宋体" w:cs="宋体"/>
        </w:rPr>
      </w:pPr>
      <w:r>
        <w:rPr>
          <w:rFonts w:hint="eastAsia" w:ascii="宋体" w:hAnsi="宋体" w:cs="宋体"/>
        </w:rPr>
        <w:t>具有履行合同所必需的产品和专业技术能力的承诺函</w:t>
      </w:r>
      <w:r>
        <w:rPr>
          <w:rFonts w:hint="eastAsia" w:ascii="宋体" w:hAnsi="宋体" w:cs="宋体"/>
          <w:b/>
          <w:bCs/>
        </w:rPr>
        <w:t>（若联合体投标须提供联合体牵头人及全体成员的承诺函）</w:t>
      </w:r>
      <w:r>
        <w:rPr>
          <w:rFonts w:hint="eastAsia" w:ascii="宋体" w:hAnsi="宋体" w:cs="宋体"/>
        </w:rPr>
        <w:t>；</w:t>
      </w:r>
    </w:p>
    <w:p>
      <w:pPr>
        <w:pStyle w:val="52"/>
        <w:numPr>
          <w:ilvl w:val="0"/>
          <w:numId w:val="18"/>
        </w:numPr>
        <w:spacing w:before="0"/>
        <w:ind w:firstLine="480"/>
        <w:rPr>
          <w:rFonts w:ascii="宋体" w:hAnsi="宋体" w:cs="宋体"/>
        </w:rPr>
      </w:pPr>
      <w:r>
        <w:rPr>
          <w:rFonts w:hint="eastAsia" w:ascii="宋体" w:hAnsi="宋体" w:cs="宋体"/>
        </w:rPr>
        <w:t>投标人承诺函（</w:t>
      </w:r>
      <w:r>
        <w:rPr>
          <w:rFonts w:hint="eastAsia" w:ascii="宋体" w:hAnsi="宋体" w:cs="宋体"/>
          <w:b/>
          <w:bCs/>
        </w:rPr>
        <w:t>若联合体投标须提供联合体牵头人及全体成员的承诺函）</w:t>
      </w:r>
      <w:r>
        <w:rPr>
          <w:rFonts w:hint="eastAsia" w:ascii="宋体" w:hAnsi="宋体" w:cs="宋体"/>
        </w:rPr>
        <w:t>。</w:t>
      </w:r>
    </w:p>
    <w:p>
      <w:pPr>
        <w:pStyle w:val="52"/>
        <w:numPr>
          <w:ilvl w:val="0"/>
          <w:numId w:val="18"/>
        </w:numPr>
        <w:spacing w:before="0"/>
        <w:ind w:firstLine="480"/>
        <w:rPr>
          <w:rFonts w:ascii="宋体" w:hAnsi="宋体" w:cs="宋体"/>
        </w:rPr>
      </w:pPr>
      <w:r>
        <w:rPr>
          <w:rFonts w:hint="eastAsia" w:ascii="宋体"/>
          <w:color w:val="auto"/>
          <w:highlight w:val="none"/>
        </w:rPr>
        <w:t>联合体协议</w:t>
      </w:r>
      <w:r>
        <w:rPr>
          <w:rFonts w:hint="eastAsia" w:ascii="宋体"/>
          <w:b/>
          <w:bCs/>
          <w:color w:val="auto"/>
          <w:highlight w:val="none"/>
        </w:rPr>
        <w:t>（若联合体投标须提供）</w:t>
      </w:r>
      <w:r>
        <w:rPr>
          <w:rFonts w:hint="eastAsia" w:ascii="宋体"/>
          <w:b/>
          <w:bCs/>
          <w:color w:val="auto"/>
          <w:highlight w:val="none"/>
          <w:lang w:eastAsia="zh-CN"/>
        </w:rPr>
        <w:t>。</w:t>
      </w:r>
    </w:p>
    <w:p>
      <w:pPr>
        <w:pStyle w:val="52"/>
        <w:spacing w:before="0"/>
        <w:ind w:firstLine="482"/>
        <w:rPr>
          <w:rFonts w:ascii="宋体" w:hAnsi="宋体" w:cs="宋体"/>
        </w:rPr>
      </w:pPr>
      <w:r>
        <w:rPr>
          <w:rFonts w:hint="eastAsia" w:ascii="宋体" w:hAnsi="宋体" w:cs="宋体"/>
          <w:b/>
          <w:bCs/>
        </w:rPr>
        <w:t>注：以上证明材料中，若联合体投标且要求提供“联合体牵头人及全体成员”相关资料的，则联合体牵头人及全体成员均须加盖公章（</w:t>
      </w:r>
      <w:r>
        <w:rPr>
          <w:rFonts w:ascii="宋体" w:hAnsi="宋体" w:cs="宋体"/>
          <w:b/>
          <w:bCs/>
        </w:rPr>
        <w:t>除联合体牵头人外其他全体成员</w:t>
      </w:r>
      <w:r>
        <w:rPr>
          <w:rFonts w:hint="eastAsia" w:ascii="宋体" w:hAnsi="宋体" w:cs="宋体"/>
          <w:b/>
          <w:bCs/>
        </w:rPr>
        <w:t>可</w:t>
      </w:r>
      <w:r>
        <w:rPr>
          <w:rFonts w:ascii="宋体" w:hAnsi="宋体" w:cs="宋体"/>
          <w:b/>
          <w:bCs/>
        </w:rPr>
        <w:t>线下</w:t>
      </w:r>
      <w:r>
        <w:rPr>
          <w:rFonts w:hint="eastAsia" w:ascii="宋体" w:hAnsi="宋体" w:cs="宋体"/>
          <w:b/>
          <w:bCs/>
        </w:rPr>
        <w:t>加盖</w:t>
      </w:r>
      <w:r>
        <w:rPr>
          <w:rFonts w:ascii="宋体" w:hAnsi="宋体" w:cs="宋体"/>
          <w:b/>
          <w:bCs/>
        </w:rPr>
        <w:t>公章后上传）</w:t>
      </w:r>
      <w:r>
        <w:rPr>
          <w:rFonts w:hint="eastAsia" w:ascii="宋体" w:hAnsi="宋体" w:cs="宋体"/>
          <w:b/>
          <w:bCs/>
        </w:rPr>
        <w:t>，否则按无效标处理。</w:t>
      </w:r>
    </w:p>
    <w:p>
      <w:pPr>
        <w:pStyle w:val="52"/>
        <w:spacing w:before="0" w:line="336" w:lineRule="auto"/>
        <w:ind w:left="480" w:firstLine="0" w:firstLineChars="0"/>
        <w:rPr>
          <w:rFonts w:asciiTheme="minorEastAsia" w:hAnsiTheme="minorEastAsia" w:eastAsiaTheme="minorEastAsia"/>
        </w:rPr>
      </w:pPr>
    </w:p>
    <w:p>
      <w:pPr>
        <w:pStyle w:val="12"/>
        <w:ind w:firstLine="0"/>
        <w:rPr>
          <w:rFonts w:cs="Times New Roman" w:asciiTheme="minorEastAsia" w:hAnsiTheme="minorEastAsia" w:eastAsiaTheme="minorEastAsia"/>
        </w:rPr>
      </w:pPr>
    </w:p>
    <w:p>
      <w:pPr>
        <w:pStyle w:val="12"/>
        <w:ind w:firstLine="486"/>
        <w:rPr>
          <w:rFonts w:cs="Times New Roman" w:asciiTheme="minorEastAsia" w:hAnsiTheme="minorEastAsia" w:eastAsiaTheme="minorEastAsia"/>
        </w:rPr>
      </w:pPr>
    </w:p>
    <w:p>
      <w:pPr>
        <w:rPr>
          <w:rFonts w:asciiTheme="minorEastAsia" w:hAnsiTheme="minorEastAsia" w:eastAsiaTheme="minorEastAsia"/>
          <w:b/>
          <w:bCs/>
        </w:rPr>
      </w:pPr>
      <w:bookmarkStart w:id="102" w:name="_Toc24699"/>
      <w:r>
        <w:rPr>
          <w:rFonts w:hint="eastAsia" w:cs="宋体" w:asciiTheme="minorEastAsia" w:hAnsiTheme="minorEastAsia" w:eastAsiaTheme="minorEastAsia"/>
          <w:b/>
          <w:bCs/>
        </w:rPr>
        <w:t>附件一：</w:t>
      </w:r>
    </w:p>
    <w:p>
      <w:pPr>
        <w:spacing w:line="360" w:lineRule="auto"/>
        <w:jc w:val="center"/>
        <w:rPr>
          <w:rFonts w:asciiTheme="minorEastAsia" w:hAnsiTheme="minorEastAsia" w:eastAsiaTheme="minorEastAsia"/>
          <w:b/>
          <w:bCs/>
          <w:sz w:val="32"/>
          <w:szCs w:val="32"/>
        </w:rPr>
      </w:pPr>
      <w:r>
        <w:rPr>
          <w:rFonts w:hint="eastAsia" w:cs="宋体" w:asciiTheme="minorEastAsia" w:hAnsiTheme="minorEastAsia" w:eastAsiaTheme="minorEastAsia"/>
          <w:b/>
          <w:bCs/>
          <w:sz w:val="32"/>
          <w:szCs w:val="32"/>
        </w:rPr>
        <w:t>法定代表人授权书</w:t>
      </w:r>
      <w:bookmarkEnd w:id="102"/>
    </w:p>
    <w:p>
      <w:pPr>
        <w:pStyle w:val="3"/>
        <w:spacing w:line="360" w:lineRule="auto"/>
        <w:rPr>
          <w:rFonts w:asciiTheme="minorEastAsia" w:hAnsiTheme="minorEastAsia" w:eastAsiaTheme="minorEastAsia"/>
        </w:rPr>
      </w:pP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绍兴市上虞城市建设集团有限公司</w:t>
      </w:r>
      <w:r>
        <w:rPr>
          <w:rFonts w:hint="eastAsia" w:cs="宋体" w:asciiTheme="minorEastAsia" w:hAnsiTheme="minorEastAsia" w:eastAsiaTheme="minorEastAsia"/>
          <w:sz w:val="24"/>
          <w:szCs w:val="24"/>
        </w:rPr>
        <w:t>：</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绍兴明晨建设项目管理有限公司：</w:t>
      </w:r>
    </w:p>
    <w:p>
      <w:pPr>
        <w:spacing w:line="360" w:lineRule="auto"/>
        <w:ind w:firstLine="480" w:firstLineChars="200"/>
        <w:rPr>
          <w:rFonts w:ascii="宋体" w:hAnsi="宋体" w:cs="宋体"/>
          <w:sz w:val="24"/>
        </w:rPr>
      </w:pPr>
      <w:r>
        <w:rPr>
          <w:rFonts w:hint="eastAsia" w:ascii="宋体" w:hAnsi="宋体" w:cs="宋体"/>
          <w:sz w:val="24"/>
          <w:u w:val="single"/>
        </w:rPr>
        <w:t xml:space="preserve">  （投标人全称） </w:t>
      </w:r>
      <w:r>
        <w:rPr>
          <w:rFonts w:hint="eastAsia" w:ascii="宋体" w:hAnsi="宋体" w:cs="宋体"/>
          <w:sz w:val="24"/>
        </w:rPr>
        <w:t>法定代表人</w:t>
      </w:r>
      <w:r>
        <w:rPr>
          <w:rFonts w:hint="eastAsia" w:ascii="宋体" w:hAnsi="宋体" w:cs="宋体"/>
          <w:sz w:val="24"/>
          <w:u w:val="single"/>
        </w:rPr>
        <w:t xml:space="preserve">         </w:t>
      </w:r>
      <w:r>
        <w:rPr>
          <w:rFonts w:hint="eastAsia" w:ascii="宋体" w:hAnsi="宋体" w:cs="宋体"/>
          <w:sz w:val="24"/>
        </w:rPr>
        <w:t>授权</w:t>
      </w:r>
      <w:r>
        <w:rPr>
          <w:rFonts w:hint="eastAsia" w:ascii="宋体" w:hAnsi="宋体" w:cs="宋体"/>
          <w:sz w:val="24"/>
          <w:u w:val="single"/>
        </w:rPr>
        <w:t>（授权代表名称）</w:t>
      </w:r>
      <w:r>
        <w:rPr>
          <w:rFonts w:hint="eastAsia" w:ascii="宋体" w:hAnsi="宋体" w:cs="宋体"/>
          <w:sz w:val="24"/>
        </w:rPr>
        <w:t>为授权代表，参加贵处组织的</w:t>
      </w:r>
      <w:r>
        <w:rPr>
          <w:rFonts w:hint="eastAsia" w:ascii="宋体" w:hAnsi="宋体" w:cs="宋体"/>
          <w:sz w:val="24"/>
          <w:u w:val="single"/>
        </w:rPr>
        <w:t xml:space="preserve">         </w:t>
      </w:r>
      <w:r>
        <w:rPr>
          <w:rFonts w:hint="eastAsia" w:ascii="宋体" w:hAnsi="宋体" w:cs="宋体"/>
          <w:sz w:val="24"/>
        </w:rPr>
        <w:t>项目</w:t>
      </w:r>
      <w:r>
        <w:rPr>
          <w:rFonts w:hint="eastAsia" w:ascii="宋体" w:hAnsi="宋体" w:cs="宋体"/>
          <w:sz w:val="24"/>
          <w:u w:val="single"/>
        </w:rPr>
        <w:t>（括号内填写招标编号）</w:t>
      </w:r>
      <w:r>
        <w:rPr>
          <w:rFonts w:hint="eastAsia" w:ascii="宋体" w:hAnsi="宋体" w:cs="宋体"/>
          <w:sz w:val="24"/>
        </w:rPr>
        <w:t>，授权处理招投标活动中的一切事宜。</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法定代表人签字：</w:t>
      </w:r>
    </w:p>
    <w:p>
      <w:pPr>
        <w:spacing w:line="360" w:lineRule="auto"/>
        <w:ind w:firstLine="480" w:firstLineChars="200"/>
        <w:rPr>
          <w:rFonts w:ascii="宋体" w:hAnsi="宋体" w:cs="宋体"/>
          <w:sz w:val="24"/>
        </w:rPr>
      </w:pPr>
      <w:r>
        <w:rPr>
          <w:rFonts w:hint="eastAsia" w:ascii="宋体" w:hAnsi="宋体" w:cs="宋体"/>
          <w:sz w:val="24"/>
        </w:rPr>
        <w:t>投标人全称：（盖章）</w:t>
      </w:r>
    </w:p>
    <w:p>
      <w:pPr>
        <w:spacing w:line="360" w:lineRule="auto"/>
        <w:ind w:firstLine="480" w:firstLineChars="200"/>
        <w:rPr>
          <w:rFonts w:ascii="宋体" w:hAnsi="宋体" w:cs="宋体"/>
          <w:sz w:val="24"/>
        </w:rPr>
      </w:pPr>
      <w:r>
        <w:rPr>
          <w:rFonts w:hint="eastAsia" w:ascii="宋体" w:hAnsi="宋体" w:cs="宋体"/>
          <w:sz w:val="24"/>
        </w:rPr>
        <w:t>日期：</w:t>
      </w:r>
    </w:p>
    <w:p>
      <w:pPr>
        <w:spacing w:line="360" w:lineRule="auto"/>
        <w:ind w:firstLine="480" w:firstLineChars="200"/>
        <w:rPr>
          <w:rFonts w:ascii="宋体" w:hAnsi="宋体" w:cs="宋体"/>
          <w:sz w:val="24"/>
        </w:rPr>
      </w:pPr>
      <w:r>
        <w:rPr>
          <w:rFonts w:hint="eastAsia" w:ascii="宋体" w:hAnsi="宋体" w:cs="宋体"/>
          <w:sz w:val="24"/>
        </w:rPr>
        <w:t>附：</w:t>
      </w:r>
    </w:p>
    <w:p>
      <w:pPr>
        <w:spacing w:line="360" w:lineRule="auto"/>
        <w:ind w:firstLine="480" w:firstLineChars="200"/>
        <w:rPr>
          <w:rFonts w:ascii="宋体" w:hAnsi="宋体" w:cs="宋体"/>
          <w:sz w:val="24"/>
        </w:rPr>
      </w:pPr>
      <w:r>
        <w:rPr>
          <w:rFonts w:hint="eastAsia" w:ascii="宋体" w:hAnsi="宋体" w:cs="宋体"/>
          <w:sz w:val="24"/>
        </w:rPr>
        <w:t>授权代表姓名：</w:t>
      </w:r>
    </w:p>
    <w:p>
      <w:pPr>
        <w:spacing w:line="360" w:lineRule="auto"/>
        <w:ind w:firstLine="480" w:firstLineChars="200"/>
        <w:rPr>
          <w:rFonts w:ascii="宋体" w:hAnsi="宋体" w:cs="宋体"/>
          <w:sz w:val="24"/>
        </w:rPr>
      </w:pPr>
      <w:r>
        <w:rPr>
          <w:rFonts w:hint="eastAsia" w:ascii="宋体" w:hAnsi="宋体" w:cs="宋体"/>
          <w:sz w:val="24"/>
        </w:rPr>
        <w:t>职务：</w:t>
      </w:r>
    </w:p>
    <w:p>
      <w:pPr>
        <w:spacing w:line="360" w:lineRule="auto"/>
        <w:ind w:firstLine="480" w:firstLineChars="200"/>
        <w:rPr>
          <w:rFonts w:ascii="宋体" w:hAnsi="宋体" w:cs="宋体"/>
          <w:sz w:val="24"/>
        </w:rPr>
      </w:pPr>
      <w:r>
        <w:rPr>
          <w:rFonts w:hint="eastAsia" w:ascii="宋体" w:hAnsi="宋体" w:cs="宋体"/>
          <w:sz w:val="24"/>
        </w:rPr>
        <w:t>详细通讯地址：</w:t>
      </w:r>
    </w:p>
    <w:p>
      <w:pPr>
        <w:spacing w:line="360" w:lineRule="auto"/>
        <w:ind w:firstLine="480" w:firstLineChars="200"/>
        <w:rPr>
          <w:rFonts w:ascii="宋体" w:hAnsi="宋体" w:cs="宋体"/>
          <w:sz w:val="24"/>
        </w:rPr>
      </w:pPr>
      <w:r>
        <w:rPr>
          <w:rFonts w:hint="eastAsia" w:ascii="宋体" w:hAnsi="宋体" w:cs="宋体"/>
          <w:sz w:val="24"/>
        </w:rPr>
        <w:t>传真：</w:t>
      </w:r>
    </w:p>
    <w:p>
      <w:pPr>
        <w:spacing w:line="360" w:lineRule="auto"/>
        <w:ind w:firstLine="480" w:firstLineChars="200"/>
        <w:rPr>
          <w:rFonts w:ascii="宋体" w:hAnsi="宋体" w:cs="宋体"/>
          <w:sz w:val="24"/>
        </w:rPr>
      </w:pPr>
      <w:r>
        <w:rPr>
          <w:rFonts w:hint="eastAsia" w:ascii="宋体" w:hAnsi="宋体" w:cs="宋体"/>
          <w:sz w:val="24"/>
        </w:rPr>
        <w:t>电话：</w:t>
      </w:r>
    </w:p>
    <w:p>
      <w:pPr>
        <w:spacing w:line="360" w:lineRule="auto"/>
        <w:ind w:firstLine="480" w:firstLineChars="200"/>
        <w:rPr>
          <w:rFonts w:ascii="宋体" w:hAnsi="宋体" w:cs="宋体"/>
          <w:sz w:val="24"/>
        </w:rPr>
      </w:pPr>
      <w:r>
        <w:rPr>
          <w:rFonts w:hint="eastAsia" w:ascii="宋体" w:hAnsi="宋体" w:cs="宋体"/>
          <w:sz w:val="24"/>
        </w:rPr>
        <w:t>邮政编码：</w:t>
      </w:r>
    </w:p>
    <w:p>
      <w:pPr>
        <w:pStyle w:val="15"/>
        <w:snapToGrid w:val="0"/>
        <w:spacing w:line="360" w:lineRule="auto"/>
        <w:rPr>
          <w:rFonts w:hAnsi="宋体"/>
          <w:sz w:val="24"/>
        </w:rPr>
      </w:pPr>
    </w:p>
    <w:p>
      <w:pPr>
        <w:pStyle w:val="15"/>
        <w:snapToGrid w:val="0"/>
        <w:spacing w:line="360" w:lineRule="auto"/>
        <w:rPr>
          <w:rFonts w:hAnsi="宋体"/>
          <w:sz w:val="24"/>
        </w:rPr>
      </w:pPr>
    </w:p>
    <w:p>
      <w:pPr>
        <w:pStyle w:val="15"/>
        <w:snapToGrid w:val="0"/>
        <w:spacing w:line="360" w:lineRule="auto"/>
        <w:rPr>
          <w:rFonts w:hAnsi="宋体"/>
          <w:sz w:val="24"/>
        </w:rPr>
      </w:pPr>
    </w:p>
    <w:p>
      <w:pPr>
        <w:spacing w:line="360" w:lineRule="auto"/>
        <w:rPr>
          <w:rFonts w:asciiTheme="minorEastAsia" w:hAnsiTheme="minorEastAsia" w:eastAsiaTheme="minorEastAsia"/>
          <w:b/>
          <w:bCs/>
          <w:sz w:val="24"/>
          <w:szCs w:val="24"/>
        </w:rPr>
      </w:pPr>
      <w:r>
        <w:rPr>
          <w:rFonts w:hint="eastAsia" w:ascii="宋体" w:hAnsi="宋体" w:cs="宋体"/>
          <w:b/>
          <w:sz w:val="24"/>
        </w:rPr>
        <w:t>附：授权代表身份证扫描件（正反面）</w:t>
      </w:r>
    </w:p>
    <w:p>
      <w:pPr>
        <w:spacing w:line="360" w:lineRule="auto"/>
        <w:rPr>
          <w:rFonts w:asciiTheme="minorEastAsia" w:hAnsiTheme="minorEastAsia" w:eastAsiaTheme="minorEastAsia"/>
          <w:b/>
          <w:bCs/>
          <w:sz w:val="24"/>
          <w:szCs w:val="24"/>
        </w:rPr>
      </w:pPr>
    </w:p>
    <w:p>
      <w:pPr>
        <w:pStyle w:val="12"/>
        <w:ind w:firstLine="486"/>
        <w:rPr>
          <w:rFonts w:cs="Times New Roman" w:asciiTheme="minorEastAsia" w:hAnsiTheme="minorEastAsia" w:eastAsiaTheme="minorEastAsia"/>
        </w:rPr>
      </w:pPr>
    </w:p>
    <w:p>
      <w:pPr>
        <w:snapToGrid w:val="0"/>
        <w:spacing w:before="50" w:after="156" w:afterLines="50"/>
        <w:jc w:val="left"/>
        <w:rPr>
          <w:rFonts w:asciiTheme="minorEastAsia" w:hAnsiTheme="minorEastAsia" w:eastAsiaTheme="minorEastAsia"/>
          <w:b/>
          <w:bCs/>
          <w:sz w:val="24"/>
          <w:szCs w:val="24"/>
          <w:lang w:val="zh-CN"/>
        </w:rPr>
      </w:pPr>
      <w:r>
        <w:rPr>
          <w:rFonts w:asciiTheme="minorEastAsia" w:hAnsiTheme="minorEastAsia" w:eastAsiaTheme="minorEastAsia"/>
          <w:b/>
          <w:bCs/>
          <w:sz w:val="24"/>
          <w:szCs w:val="24"/>
        </w:rPr>
        <w:br w:type="page"/>
      </w:r>
      <w:r>
        <w:rPr>
          <w:rFonts w:hint="eastAsia" w:cs="宋体" w:asciiTheme="minorEastAsia" w:hAnsiTheme="minorEastAsia" w:eastAsiaTheme="minorEastAsia"/>
          <w:b/>
          <w:bCs/>
          <w:sz w:val="24"/>
          <w:szCs w:val="24"/>
          <w:lang w:val="zh-CN"/>
        </w:rPr>
        <w:t>附件二：</w:t>
      </w:r>
    </w:p>
    <w:p>
      <w:pPr>
        <w:spacing w:line="360" w:lineRule="auto"/>
        <w:jc w:val="center"/>
        <w:rPr>
          <w:rFonts w:ascii="宋体" w:hAnsi="宋体" w:cs="宋体"/>
          <w:b/>
          <w:bCs/>
          <w:sz w:val="32"/>
          <w:szCs w:val="32"/>
        </w:rPr>
      </w:pPr>
      <w:r>
        <w:rPr>
          <w:rFonts w:hint="eastAsia" w:ascii="宋体" w:hAnsi="宋体" w:cs="宋体"/>
          <w:b/>
          <w:bCs/>
          <w:sz w:val="32"/>
          <w:szCs w:val="32"/>
        </w:rPr>
        <w:t>投标人承诺函</w:t>
      </w:r>
    </w:p>
    <w:p>
      <w:pPr>
        <w:spacing w:line="360" w:lineRule="auto"/>
        <w:ind w:firstLine="400" w:firstLineChars="200"/>
        <w:rPr>
          <w:rFonts w:ascii="宋体" w:hAnsi="宋体" w:cs="宋体"/>
        </w:rPr>
      </w:pPr>
    </w:p>
    <w:p>
      <w:pPr>
        <w:snapToGrid w:val="0"/>
        <w:spacing w:line="360" w:lineRule="auto"/>
        <w:rPr>
          <w:rFonts w:ascii="宋体" w:hAnsi="宋体" w:cs="仿宋"/>
          <w:sz w:val="24"/>
        </w:rPr>
      </w:pPr>
      <w:r>
        <w:rPr>
          <w:rFonts w:hint="eastAsia" w:cs="宋体" w:asciiTheme="minorEastAsia" w:hAnsiTheme="minorEastAsia" w:eastAsiaTheme="minorEastAsia"/>
          <w:sz w:val="24"/>
          <w:szCs w:val="24"/>
          <w:lang w:eastAsia="zh-CN"/>
        </w:rPr>
        <w:t>绍兴市上虞</w:t>
      </w:r>
      <w:r>
        <w:rPr>
          <w:rFonts w:hint="eastAsia" w:cs="宋体" w:asciiTheme="minorEastAsia" w:hAnsiTheme="minorEastAsia" w:eastAsiaTheme="minorEastAsia"/>
          <w:sz w:val="24"/>
          <w:szCs w:val="24"/>
          <w:lang w:val="en-US" w:eastAsia="zh-CN"/>
        </w:rPr>
        <w:t>城市建设集团</w:t>
      </w:r>
      <w:r>
        <w:rPr>
          <w:rFonts w:hint="eastAsia" w:cs="宋体" w:asciiTheme="minorEastAsia" w:hAnsiTheme="minorEastAsia" w:eastAsiaTheme="minorEastAsia"/>
          <w:sz w:val="24"/>
          <w:szCs w:val="24"/>
          <w:lang w:eastAsia="zh-CN"/>
        </w:rPr>
        <w:t>有限公司</w:t>
      </w:r>
      <w:r>
        <w:rPr>
          <w:rFonts w:hint="eastAsia" w:ascii="宋体" w:hAnsi="宋体" w:cs="仿宋"/>
          <w:sz w:val="24"/>
        </w:rPr>
        <w:t>：</w:t>
      </w:r>
    </w:p>
    <w:p>
      <w:pPr>
        <w:snapToGrid w:val="0"/>
        <w:spacing w:line="360" w:lineRule="auto"/>
        <w:rPr>
          <w:rFonts w:ascii="宋体" w:hAnsi="宋体" w:cs="仿宋"/>
          <w:sz w:val="24"/>
        </w:rPr>
      </w:pPr>
      <w:r>
        <w:rPr>
          <w:rFonts w:hint="eastAsia" w:ascii="宋体" w:hAnsi="宋体" w:cs="仿宋"/>
          <w:sz w:val="24"/>
        </w:rPr>
        <w:t>绍兴明晨建设项目管理有限公司</w:t>
      </w:r>
      <w:r>
        <w:rPr>
          <w:rFonts w:hint="eastAsia" w:ascii="宋体" w:hAnsi="宋体" w:cs="仿宋"/>
          <w:sz w:val="24"/>
          <w:lang w:val="zh-CN"/>
        </w:rPr>
        <w:t>：</w:t>
      </w:r>
    </w:p>
    <w:p>
      <w:pPr>
        <w:spacing w:line="360" w:lineRule="auto"/>
        <w:ind w:firstLine="480" w:firstLineChars="200"/>
        <w:rPr>
          <w:rFonts w:ascii="宋体" w:hAnsi="宋体" w:cs="宋体"/>
          <w:sz w:val="24"/>
        </w:rPr>
      </w:pPr>
      <w:r>
        <w:rPr>
          <w:rFonts w:hint="eastAsia" w:ascii="宋体" w:hAnsi="宋体" w:cs="宋体"/>
          <w:sz w:val="24"/>
          <w:u w:val="single"/>
        </w:rPr>
        <w:t>（投标人名称）</w:t>
      </w:r>
      <w:r>
        <w:rPr>
          <w:rFonts w:hint="eastAsia" w:ascii="宋体" w:hAnsi="宋体" w:cs="宋体"/>
          <w:sz w:val="24"/>
        </w:rPr>
        <w:t>系中华人民共和国合法企业，经营地址。</w:t>
      </w:r>
    </w:p>
    <w:p>
      <w:pPr>
        <w:spacing w:line="360" w:lineRule="auto"/>
        <w:ind w:firstLine="480" w:firstLineChars="200"/>
        <w:rPr>
          <w:rFonts w:ascii="宋体" w:hAnsi="宋体" w:cs="宋体"/>
          <w:sz w:val="24"/>
        </w:rPr>
      </w:pPr>
      <w:r>
        <w:rPr>
          <w:rFonts w:hint="eastAsia" w:ascii="宋体" w:hAnsi="宋体" w:cs="宋体"/>
          <w:sz w:val="24"/>
        </w:rPr>
        <w:t>我</w:t>
      </w:r>
      <w:r>
        <w:rPr>
          <w:rFonts w:hint="eastAsia" w:ascii="宋体" w:hAnsi="宋体" w:cs="宋体"/>
          <w:sz w:val="24"/>
          <w:u w:val="single"/>
        </w:rPr>
        <w:t>（姓名）</w:t>
      </w:r>
      <w:r>
        <w:rPr>
          <w:rFonts w:hint="eastAsia" w:ascii="宋体" w:hAnsi="宋体" w:cs="宋体"/>
          <w:sz w:val="24"/>
        </w:rPr>
        <w:t>系</w:t>
      </w:r>
      <w:r>
        <w:rPr>
          <w:rFonts w:hint="eastAsia" w:ascii="宋体" w:hAnsi="宋体" w:cs="宋体"/>
          <w:sz w:val="24"/>
          <w:u w:val="single"/>
        </w:rPr>
        <w:t>（投标人名称）</w:t>
      </w:r>
      <w:r>
        <w:rPr>
          <w:rFonts w:hint="eastAsia" w:ascii="宋体" w:hAnsi="宋体" w:cs="宋体"/>
          <w:sz w:val="24"/>
        </w:rPr>
        <w:t>的法定代表人，我方愿意参加贵方组织的</w:t>
      </w:r>
      <w:r>
        <w:rPr>
          <w:rFonts w:hint="eastAsia" w:ascii="宋体" w:hAnsi="宋体" w:cs="宋体"/>
          <w:sz w:val="24"/>
          <w:u w:val="single"/>
        </w:rPr>
        <w:t>（招标项目名称）（编号为）</w:t>
      </w:r>
      <w:r>
        <w:rPr>
          <w:rFonts w:hint="eastAsia" w:ascii="宋体" w:hAnsi="宋体" w:cs="宋体"/>
          <w:sz w:val="24"/>
        </w:rPr>
        <w:t>的投标，为此，我方就本次投标有关事项郑重承诺如下：</w:t>
      </w:r>
    </w:p>
    <w:p>
      <w:pPr>
        <w:spacing w:line="360" w:lineRule="auto"/>
        <w:ind w:firstLine="480" w:firstLineChars="200"/>
        <w:rPr>
          <w:rFonts w:ascii="宋体" w:hAnsi="宋体" w:cs="宋体"/>
          <w:sz w:val="24"/>
        </w:rPr>
      </w:pPr>
      <w:r>
        <w:rPr>
          <w:rFonts w:hint="eastAsia" w:ascii="宋体" w:hAnsi="宋体" w:cs="宋体"/>
          <w:sz w:val="24"/>
        </w:rPr>
        <w:t>1、我方已详细审查全部招标文件，同意招标文件的各项要求。</w:t>
      </w:r>
    </w:p>
    <w:p>
      <w:pPr>
        <w:spacing w:line="360" w:lineRule="auto"/>
        <w:ind w:firstLine="480" w:firstLineChars="200"/>
        <w:rPr>
          <w:rFonts w:ascii="宋体" w:hAnsi="宋体" w:cs="宋体"/>
          <w:sz w:val="24"/>
        </w:rPr>
      </w:pPr>
      <w:r>
        <w:rPr>
          <w:rFonts w:hint="eastAsia" w:ascii="宋体" w:hAnsi="宋体" w:cs="宋体"/>
          <w:sz w:val="24"/>
        </w:rPr>
        <w:t>2、我方向贵方提交的所有投标文件、资料都是准确的和真实的。</w:t>
      </w:r>
    </w:p>
    <w:p>
      <w:pPr>
        <w:spacing w:line="360" w:lineRule="auto"/>
        <w:ind w:firstLine="480" w:firstLineChars="200"/>
        <w:rPr>
          <w:rFonts w:ascii="宋体" w:hAnsi="宋体" w:cs="宋体"/>
          <w:sz w:val="24"/>
        </w:rPr>
      </w:pPr>
      <w:r>
        <w:rPr>
          <w:rFonts w:hint="eastAsia" w:ascii="宋体" w:hAnsi="宋体" w:cs="宋体"/>
          <w:sz w:val="24"/>
        </w:rPr>
        <w:t>3、若中标，我方将按招标文件规定履行合同责任和义务。</w:t>
      </w:r>
    </w:p>
    <w:p>
      <w:pPr>
        <w:spacing w:line="360" w:lineRule="auto"/>
        <w:ind w:firstLine="480" w:firstLineChars="200"/>
        <w:rPr>
          <w:rFonts w:ascii="宋体" w:hAnsi="宋体" w:cs="宋体"/>
          <w:sz w:val="24"/>
        </w:rPr>
      </w:pPr>
      <w:r>
        <w:rPr>
          <w:rFonts w:hint="eastAsia" w:ascii="宋体" w:hAnsi="宋体" w:cs="宋体"/>
          <w:sz w:val="24"/>
        </w:rPr>
        <w:t>4、我方不是采购人的附属机构；在获知本项目采购信息后，与采购人聘请的为此项目提供咨询服务的公司及其附属机构没有任何联系。</w:t>
      </w:r>
    </w:p>
    <w:p>
      <w:pPr>
        <w:spacing w:line="360" w:lineRule="auto"/>
        <w:ind w:firstLine="480" w:firstLineChars="200"/>
        <w:rPr>
          <w:rFonts w:ascii="宋体" w:hAnsi="宋体" w:cs="宋体"/>
          <w:sz w:val="24"/>
        </w:rPr>
      </w:pPr>
      <w:r>
        <w:rPr>
          <w:rFonts w:hint="eastAsia" w:ascii="宋体" w:hAnsi="宋体" w:cs="宋体"/>
          <w:sz w:val="24"/>
        </w:rPr>
        <w:t>5、投标文件自开标日起有效期为90天。</w:t>
      </w:r>
    </w:p>
    <w:p>
      <w:pPr>
        <w:spacing w:line="360" w:lineRule="auto"/>
        <w:ind w:firstLine="480" w:firstLineChars="200"/>
        <w:rPr>
          <w:rFonts w:ascii="宋体" w:hAnsi="宋体" w:cs="宋体"/>
          <w:sz w:val="24"/>
        </w:rPr>
      </w:pPr>
      <w:r>
        <w:rPr>
          <w:rFonts w:hint="eastAsia" w:ascii="宋体" w:hAnsi="宋体" w:cs="宋体"/>
          <w:sz w:val="24"/>
        </w:rPr>
        <w:t>6、我方参与本项目前3年内的经营活动中没有重大违法记录；</w:t>
      </w:r>
    </w:p>
    <w:p>
      <w:pPr>
        <w:spacing w:line="360" w:lineRule="auto"/>
        <w:ind w:firstLine="480" w:firstLineChars="200"/>
        <w:rPr>
          <w:rFonts w:ascii="宋体" w:hAnsi="宋体" w:cs="宋体"/>
          <w:sz w:val="24"/>
        </w:rPr>
      </w:pPr>
      <w:r>
        <w:rPr>
          <w:rFonts w:hint="eastAsia" w:ascii="宋体" w:hAnsi="宋体" w:cs="宋体"/>
          <w:sz w:val="24"/>
        </w:rPr>
        <w:t>7、我方通过“信用中国”网站（www.creditchina.gov.cn）、中国政府采购网（www.ccgp.gov.cn）查询，未被列入失信被执行人、重大税收违法案件当事人名单、政府采购严重违法失信行为记录名单。</w:t>
      </w:r>
    </w:p>
    <w:p>
      <w:pPr>
        <w:pStyle w:val="52"/>
        <w:spacing w:before="0"/>
        <w:ind w:firstLine="480"/>
        <w:rPr>
          <w:rFonts w:ascii="宋体" w:hAnsi="宋体" w:cs="宋体"/>
        </w:rPr>
      </w:pPr>
      <w:r>
        <w:rPr>
          <w:rFonts w:hint="eastAsia" w:ascii="宋体" w:hAnsi="宋体" w:cs="宋体"/>
        </w:rPr>
        <w:t>8、具有良好的商业信誉和健全的财务会计制度；</w:t>
      </w:r>
    </w:p>
    <w:p>
      <w:pPr>
        <w:spacing w:line="360" w:lineRule="auto"/>
        <w:ind w:firstLine="480" w:firstLineChars="200"/>
        <w:rPr>
          <w:rFonts w:ascii="宋体" w:hAnsi="宋体" w:cs="宋体"/>
          <w:sz w:val="24"/>
        </w:rPr>
      </w:pPr>
      <w:r>
        <w:rPr>
          <w:rFonts w:hint="eastAsia" w:ascii="宋体" w:hAnsi="宋体" w:cs="宋体"/>
          <w:sz w:val="24"/>
        </w:rPr>
        <w:t>9、具有依法缴纳税收和社会保障资金的良好记录；</w:t>
      </w:r>
    </w:p>
    <w:p>
      <w:pPr>
        <w:spacing w:line="360" w:lineRule="auto"/>
        <w:ind w:firstLine="480" w:firstLineChars="200"/>
        <w:rPr>
          <w:rFonts w:ascii="宋体" w:hAnsi="宋体" w:cs="宋体"/>
          <w:sz w:val="24"/>
        </w:rPr>
      </w:pPr>
      <w:r>
        <w:rPr>
          <w:rFonts w:hint="eastAsia" w:ascii="宋体" w:hAnsi="宋体" w:cs="宋体"/>
          <w:sz w:val="24"/>
        </w:rPr>
        <w:t>10、以上事项如有虚假或隐瞒，我方愿意承担一切后果，并不再寻求任何旨在减轻或免除法律责任的辩解。</w:t>
      </w:r>
    </w:p>
    <w:p>
      <w:pPr>
        <w:pStyle w:val="12"/>
      </w:pPr>
    </w:p>
    <w:p>
      <w:pPr>
        <w:pStyle w:val="12"/>
      </w:pPr>
    </w:p>
    <w:p>
      <w:pPr>
        <w:spacing w:line="360" w:lineRule="auto"/>
        <w:ind w:left="3600" w:leftChars="1800" w:firstLine="480" w:firstLineChars="200"/>
        <w:rPr>
          <w:rFonts w:ascii="宋体" w:hAnsi="宋体" w:cs="宋体"/>
          <w:sz w:val="24"/>
          <w:szCs w:val="24"/>
        </w:rPr>
      </w:pPr>
      <w:r>
        <w:rPr>
          <w:rFonts w:hint="eastAsia" w:ascii="宋体" w:hAnsi="宋体" w:cs="宋体"/>
          <w:sz w:val="24"/>
          <w:szCs w:val="24"/>
        </w:rPr>
        <w:t>法定代表人签名（或签名章）：</w:t>
      </w:r>
    </w:p>
    <w:p>
      <w:pPr>
        <w:spacing w:line="360" w:lineRule="auto"/>
        <w:ind w:left="3600" w:leftChars="1800" w:firstLine="480" w:firstLineChars="200"/>
        <w:rPr>
          <w:rFonts w:ascii="宋体" w:hAnsi="宋体" w:cs="宋体"/>
          <w:sz w:val="24"/>
          <w:szCs w:val="24"/>
        </w:rPr>
      </w:pPr>
      <w:r>
        <w:rPr>
          <w:rFonts w:hint="eastAsia" w:ascii="宋体" w:hAnsi="宋体" w:cs="宋体"/>
          <w:sz w:val="24"/>
          <w:szCs w:val="24"/>
        </w:rPr>
        <w:t>日期：</w:t>
      </w:r>
    </w:p>
    <w:p>
      <w:pPr>
        <w:spacing w:line="360" w:lineRule="auto"/>
        <w:ind w:left="3600" w:leftChars="1800" w:firstLine="480" w:firstLineChars="200"/>
        <w:rPr>
          <w:rFonts w:asciiTheme="minorEastAsia" w:hAnsiTheme="minorEastAsia" w:eastAsiaTheme="minorEastAsia"/>
          <w:sz w:val="24"/>
          <w:szCs w:val="24"/>
        </w:rPr>
      </w:pPr>
      <w:r>
        <w:rPr>
          <w:rFonts w:hint="eastAsia" w:ascii="宋体" w:hAnsi="宋体" w:cs="宋体"/>
          <w:sz w:val="24"/>
          <w:szCs w:val="24"/>
        </w:rPr>
        <w:t>供应商全称（公章）：</w:t>
      </w:r>
    </w:p>
    <w:p>
      <w:pPr>
        <w:pStyle w:val="2"/>
        <w:jc w:val="left"/>
        <w:rPr>
          <w:rFonts w:hint="eastAsia"/>
          <w:color w:val="auto"/>
          <w:highlight w:val="none"/>
        </w:rPr>
      </w:pPr>
      <w:bookmarkStart w:id="103" w:name="_Toc117449416"/>
      <w:r>
        <w:rPr>
          <w:rFonts w:hint="eastAsia" w:hAnsi="宋体" w:cs="宋体"/>
          <w:bCs/>
          <w:color w:val="auto"/>
          <w:sz w:val="24"/>
          <w:highlight w:val="none"/>
          <w:lang w:val="zh-CN"/>
        </w:rPr>
        <w:t>附件三：</w:t>
      </w:r>
      <w:bookmarkEnd w:id="103"/>
    </w:p>
    <w:p>
      <w:pPr>
        <w:pStyle w:val="2"/>
        <w:jc w:val="center"/>
        <w:rPr>
          <w:rFonts w:hint="eastAsia" w:ascii="宋体" w:hAnsi="宋体" w:eastAsia="宋体" w:cs="宋体"/>
          <w:b/>
          <w:bCs/>
          <w:sz w:val="32"/>
          <w:szCs w:val="32"/>
          <w:lang w:val="en-US" w:eastAsia="zh-CN" w:bidi="ar-SA"/>
        </w:rPr>
      </w:pPr>
      <w:bookmarkStart w:id="104" w:name="_Toc117449417"/>
      <w:r>
        <w:rPr>
          <w:rFonts w:hint="eastAsia" w:ascii="宋体" w:hAnsi="宋体" w:eastAsia="宋体" w:cs="宋体"/>
          <w:b/>
          <w:bCs/>
          <w:sz w:val="32"/>
          <w:szCs w:val="32"/>
          <w:lang w:val="en-US" w:eastAsia="zh-CN" w:bidi="ar-SA"/>
        </w:rPr>
        <w:t>联合体协议书（如有）</w:t>
      </w:r>
      <w:bookmarkEnd w:id="104"/>
    </w:p>
    <w:p>
      <w:pPr>
        <w:pStyle w:val="81"/>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（所有成员单位名称）自愿组成</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r>
        <w:rPr>
          <w:rFonts w:hint="eastAsia" w:ascii="宋体" w:hAnsi="宋体"/>
          <w:color w:val="auto"/>
          <w:sz w:val="24"/>
          <w:szCs w:val="24"/>
          <w:highlight w:val="none"/>
        </w:rPr>
        <w:t>（联合体名称）联合体，共同参加</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r>
        <w:rPr>
          <w:rFonts w:hint="eastAsia" w:ascii="宋体" w:hAnsi="宋体"/>
          <w:color w:val="auto"/>
          <w:sz w:val="24"/>
          <w:szCs w:val="24"/>
          <w:highlight w:val="none"/>
        </w:rPr>
        <w:t>（项目名称）投标。现就联合体投标事宜订立如下协议。</w:t>
      </w:r>
    </w:p>
    <w:p>
      <w:pPr>
        <w:pStyle w:val="81"/>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（某成员单位名称）为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（联合体名称）牵头人。</w:t>
      </w:r>
    </w:p>
    <w:p>
      <w:pPr>
        <w:pStyle w:val="81"/>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联合体牵头人合法代表联合体各成员负责本采购项目响应文件编制和合同谈判活动，并代表联合体提交和接收相关的资料、信息及指示，并处理与之有关的一切事务，负责合同实施阶段的主办、组织和协调工作。</w:t>
      </w:r>
    </w:p>
    <w:p>
      <w:pPr>
        <w:pStyle w:val="81"/>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3、联合体将严格按照采购文件的各项要求，递交响应文件，履行合同，并对外承担连带责任。</w:t>
      </w:r>
    </w:p>
    <w:p>
      <w:pPr>
        <w:pStyle w:val="81"/>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4、联合体各成员单位内部的职责分工如下：</w:t>
      </w:r>
    </w:p>
    <w:p>
      <w:pPr>
        <w:pStyle w:val="81"/>
        <w:spacing w:line="360" w:lineRule="auto"/>
        <w:ind w:firstLine="456" w:firstLineChars="200"/>
        <w:rPr>
          <w:rFonts w:ascii="宋体" w:hAnsi="宋体" w:cs="宋体"/>
          <w:b/>
          <w:bCs/>
          <w:color w:val="auto"/>
          <w:w w:val="95"/>
          <w:sz w:val="24"/>
          <w:szCs w:val="24"/>
          <w:highlight w:val="none"/>
          <w:u w:val="single" w:color="000000"/>
        </w:rPr>
      </w:pPr>
      <w:r>
        <w:rPr>
          <w:rFonts w:ascii="Times New Roman" w:hAnsi="Times New Roman" w:eastAsia="Times New Roman"/>
          <w:b/>
          <w:bCs/>
          <w:color w:val="auto"/>
          <w:w w:val="95"/>
          <w:sz w:val="24"/>
          <w:szCs w:val="24"/>
          <w:highlight w:val="none"/>
          <w:u w:val="single" w:color="000000"/>
        </w:rPr>
        <w:tab/>
      </w:r>
      <w:r>
        <w:rPr>
          <w:rFonts w:ascii="Times New Roman" w:hAnsi="Times New Roman" w:eastAsia="Times New Roman"/>
          <w:b/>
          <w:bCs/>
          <w:color w:val="auto"/>
          <w:w w:val="95"/>
          <w:sz w:val="24"/>
          <w:szCs w:val="24"/>
          <w:highlight w:val="none"/>
          <w:u w:val="single" w:color="000000"/>
        </w:rPr>
        <w:t xml:space="preserve">           </w:t>
      </w:r>
      <w:r>
        <w:rPr>
          <w:rFonts w:ascii="宋体" w:hAnsi="宋体" w:cs="宋体"/>
          <w:b/>
          <w:bCs/>
          <w:color w:val="auto"/>
          <w:w w:val="95"/>
          <w:sz w:val="24"/>
          <w:szCs w:val="24"/>
          <w:highlight w:val="none"/>
        </w:rPr>
        <w:t>作为联合体牵头方，负责</w:t>
      </w:r>
      <w:r>
        <w:rPr>
          <w:rFonts w:ascii="Times New Roman" w:hAnsi="Times New Roman" w:eastAsia="Times New Roman"/>
          <w:b/>
          <w:bCs/>
          <w:color w:val="auto"/>
          <w:w w:val="95"/>
          <w:sz w:val="24"/>
          <w:szCs w:val="24"/>
          <w:highlight w:val="none"/>
          <w:u w:val="single" w:color="000000"/>
        </w:rPr>
        <w:tab/>
      </w:r>
      <w:r>
        <w:rPr>
          <w:rFonts w:ascii="Times New Roman" w:hAnsi="Times New Roman" w:eastAsia="Times New Roman"/>
          <w:b/>
          <w:bCs/>
          <w:color w:val="auto"/>
          <w:w w:val="95"/>
          <w:sz w:val="24"/>
          <w:szCs w:val="24"/>
          <w:highlight w:val="none"/>
          <w:u w:val="single" w:color="000000"/>
        </w:rPr>
        <w:t xml:space="preserve">          </w:t>
      </w:r>
      <w:r>
        <w:rPr>
          <w:rFonts w:hint="eastAsia" w:ascii="宋体" w:hAnsi="宋体" w:cs="宋体"/>
          <w:b/>
          <w:bCs/>
          <w:color w:val="auto"/>
          <w:w w:val="95"/>
          <w:sz w:val="24"/>
          <w:szCs w:val="24"/>
          <w:highlight w:val="none"/>
        </w:rPr>
        <w:t>；</w:t>
      </w:r>
    </w:p>
    <w:p>
      <w:pPr>
        <w:pStyle w:val="81"/>
        <w:spacing w:line="360" w:lineRule="auto"/>
        <w:ind w:firstLine="456" w:firstLineChars="200"/>
        <w:rPr>
          <w:rFonts w:ascii="宋体" w:hAnsi="宋体"/>
          <w:color w:val="auto"/>
          <w:sz w:val="24"/>
          <w:szCs w:val="24"/>
          <w:highlight w:val="none"/>
          <w:u w:val="single"/>
        </w:rPr>
      </w:pPr>
      <w:r>
        <w:rPr>
          <w:rFonts w:ascii="Times New Roman" w:hAnsi="Times New Roman" w:eastAsia="Times New Roman"/>
          <w:b/>
          <w:bCs/>
          <w:color w:val="auto"/>
          <w:w w:val="95"/>
          <w:sz w:val="24"/>
          <w:szCs w:val="24"/>
          <w:highlight w:val="none"/>
          <w:u w:val="single" w:color="000000"/>
        </w:rPr>
        <w:tab/>
      </w:r>
      <w:r>
        <w:rPr>
          <w:rFonts w:ascii="Times New Roman" w:hAnsi="Times New Roman" w:eastAsia="Times New Roman"/>
          <w:b/>
          <w:bCs/>
          <w:color w:val="auto"/>
          <w:w w:val="95"/>
          <w:sz w:val="24"/>
          <w:szCs w:val="24"/>
          <w:highlight w:val="none"/>
          <w:u w:val="single" w:color="000000"/>
        </w:rPr>
        <w:t xml:space="preserve">           </w:t>
      </w:r>
      <w:r>
        <w:rPr>
          <w:rFonts w:ascii="宋体" w:hAnsi="宋体" w:cs="宋体"/>
          <w:b/>
          <w:bCs/>
          <w:color w:val="auto"/>
          <w:w w:val="95"/>
          <w:sz w:val="24"/>
          <w:szCs w:val="24"/>
          <w:highlight w:val="none"/>
        </w:rPr>
        <w:t>作为联合体成员方，负责</w:t>
      </w:r>
      <w:r>
        <w:rPr>
          <w:rFonts w:ascii="Times New Roman" w:hAnsi="Times New Roman" w:eastAsia="Times New Roman"/>
          <w:b/>
          <w:bCs/>
          <w:color w:val="auto"/>
          <w:w w:val="95"/>
          <w:sz w:val="24"/>
          <w:szCs w:val="24"/>
          <w:highlight w:val="none"/>
          <w:u w:val="single" w:color="000000"/>
        </w:rPr>
        <w:tab/>
      </w:r>
      <w:r>
        <w:rPr>
          <w:rFonts w:ascii="Times New Roman" w:hAnsi="Times New Roman" w:eastAsia="Times New Roman"/>
          <w:b/>
          <w:bCs/>
          <w:color w:val="auto"/>
          <w:w w:val="95"/>
          <w:sz w:val="24"/>
          <w:szCs w:val="24"/>
          <w:highlight w:val="none"/>
          <w:u w:val="single" w:color="000000"/>
        </w:rPr>
        <w:t xml:space="preserve">          </w:t>
      </w:r>
      <w:r>
        <w:rPr>
          <w:rFonts w:hint="eastAsia" w:ascii="宋体" w:hAnsi="宋体"/>
          <w:color w:val="auto"/>
          <w:sz w:val="24"/>
          <w:szCs w:val="24"/>
          <w:highlight w:val="none"/>
        </w:rPr>
        <w:t>。</w:t>
      </w:r>
    </w:p>
    <w:p>
      <w:pPr>
        <w:pStyle w:val="81"/>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5、本协议书自签署之日起生效，合同履行完毕后自动失效。</w:t>
      </w:r>
    </w:p>
    <w:p>
      <w:pPr>
        <w:pStyle w:val="81"/>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6、本协议书一式</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＿份，联合体成员和招标人各执一份。</w:t>
      </w:r>
    </w:p>
    <w:p>
      <w:pPr>
        <w:pStyle w:val="81"/>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注：本联合体提供的投标文件以联合体各方盖章或联合体牵头方的盖章有效，签名以联合体各方的授权代表或联合体牵头方的授权代表有效。</w:t>
      </w:r>
    </w:p>
    <w:p>
      <w:pPr>
        <w:pStyle w:val="81"/>
        <w:spacing w:line="360" w:lineRule="auto"/>
        <w:ind w:firstLine="480" w:firstLineChars="200"/>
        <w:rPr>
          <w:rFonts w:ascii="宋体" w:hAnsi="宋体"/>
          <w:color w:val="auto"/>
          <w:sz w:val="24"/>
          <w:szCs w:val="24"/>
          <w:highlight w:val="none"/>
        </w:rPr>
      </w:pPr>
    </w:p>
    <w:p>
      <w:pPr>
        <w:pStyle w:val="81"/>
        <w:spacing w:line="360" w:lineRule="auto"/>
        <w:ind w:firstLine="480" w:firstLineChars="200"/>
        <w:rPr>
          <w:rFonts w:ascii="宋体" w:hAnsi="宋体"/>
          <w:color w:val="auto"/>
          <w:sz w:val="24"/>
          <w:szCs w:val="24"/>
          <w:highlight w:val="none"/>
        </w:rPr>
      </w:pPr>
    </w:p>
    <w:p>
      <w:pPr>
        <w:pStyle w:val="81"/>
        <w:spacing w:line="360" w:lineRule="auto"/>
        <w:ind w:firstLine="480" w:firstLineChars="200"/>
        <w:rPr>
          <w:rFonts w:ascii="宋体" w:hAnsi="宋体"/>
          <w:color w:val="auto"/>
          <w:sz w:val="24"/>
          <w:szCs w:val="24"/>
          <w:highlight w:val="none"/>
        </w:rPr>
      </w:pPr>
    </w:p>
    <w:p>
      <w:pPr>
        <w:pStyle w:val="81"/>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牵头人名称：</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w:t>
      </w:r>
      <w:r>
        <w:rPr>
          <w:rFonts w:ascii="宋体" w:hAnsi="宋体" w:cs="Arial"/>
          <w:color w:val="auto"/>
          <w:sz w:val="24"/>
          <w:szCs w:val="24"/>
          <w:highlight w:val="none"/>
        </w:rPr>
        <w:t>盖单位公章</w:t>
      </w:r>
      <w:r>
        <w:rPr>
          <w:rFonts w:hint="eastAsia" w:ascii="宋体" w:hAnsi="宋体"/>
          <w:color w:val="auto"/>
          <w:sz w:val="24"/>
          <w:szCs w:val="24"/>
          <w:highlight w:val="none"/>
        </w:rPr>
        <w:t>）</w:t>
      </w:r>
    </w:p>
    <w:p>
      <w:pPr>
        <w:pStyle w:val="81"/>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法定代表人：</w:t>
      </w:r>
      <w:r>
        <w:rPr>
          <w:rFonts w:hint="eastAsia" w:ascii="宋体" w:hAnsi="宋体"/>
          <w:color w:val="auto"/>
          <w:sz w:val="24"/>
          <w:szCs w:val="24"/>
          <w:highlight w:val="none"/>
          <w:u w:val="single"/>
        </w:rPr>
        <w:t xml:space="preserve">         </w:t>
      </w:r>
      <w:r>
        <w:rPr>
          <w:rFonts w:ascii="宋体" w:hAnsi="宋体"/>
          <w:color w:val="auto"/>
          <w:sz w:val="24"/>
          <w:szCs w:val="24"/>
          <w:highlight w:val="none"/>
        </w:rPr>
        <w:t>（</w:t>
      </w:r>
      <w:r>
        <w:rPr>
          <w:rFonts w:ascii="宋体" w:hAnsi="宋体" w:cs="Arial"/>
          <w:color w:val="auto"/>
          <w:sz w:val="24"/>
          <w:szCs w:val="24"/>
          <w:highlight w:val="none"/>
        </w:rPr>
        <w:t>签字或盖章</w:t>
      </w:r>
      <w:r>
        <w:rPr>
          <w:rFonts w:ascii="宋体" w:hAnsi="宋体"/>
          <w:color w:val="auto"/>
          <w:sz w:val="24"/>
          <w:szCs w:val="24"/>
          <w:highlight w:val="none"/>
        </w:rPr>
        <w:t>）</w:t>
      </w:r>
    </w:p>
    <w:p>
      <w:pPr>
        <w:pStyle w:val="81"/>
        <w:spacing w:line="360" w:lineRule="auto"/>
        <w:ind w:firstLine="480" w:firstLineChars="200"/>
        <w:rPr>
          <w:rFonts w:ascii="宋体" w:hAnsi="宋体"/>
          <w:color w:val="auto"/>
          <w:sz w:val="24"/>
          <w:szCs w:val="24"/>
          <w:highlight w:val="none"/>
        </w:rPr>
      </w:pPr>
    </w:p>
    <w:p>
      <w:pPr>
        <w:pStyle w:val="81"/>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成员方名称：</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w:t>
      </w:r>
      <w:r>
        <w:rPr>
          <w:rFonts w:ascii="宋体" w:hAnsi="宋体" w:cs="Arial"/>
          <w:color w:val="auto"/>
          <w:sz w:val="24"/>
          <w:szCs w:val="24"/>
          <w:highlight w:val="none"/>
        </w:rPr>
        <w:t>盖单位公章</w:t>
      </w:r>
      <w:r>
        <w:rPr>
          <w:rFonts w:hint="eastAsia" w:ascii="宋体" w:hAnsi="宋体"/>
          <w:color w:val="auto"/>
          <w:sz w:val="24"/>
          <w:szCs w:val="24"/>
          <w:highlight w:val="none"/>
        </w:rPr>
        <w:t>）</w:t>
      </w:r>
    </w:p>
    <w:p>
      <w:pPr>
        <w:pStyle w:val="81"/>
        <w:spacing w:line="360" w:lineRule="auto"/>
        <w:rPr>
          <w:rFonts w:ascii="宋体" w:hAnsi="宋体"/>
          <w:color w:val="auto"/>
          <w:sz w:val="24"/>
          <w:szCs w:val="24"/>
          <w:highlight w:val="none"/>
        </w:rPr>
      </w:pPr>
      <w:r>
        <w:rPr>
          <w:rFonts w:hint="eastAsia" w:ascii="宋体" w:hAnsi="宋体"/>
          <w:color w:val="auto"/>
          <w:sz w:val="24"/>
          <w:szCs w:val="24"/>
          <w:highlight w:val="none"/>
        </w:rPr>
        <w:t xml:space="preserve">                  法定代表人：</w:t>
      </w:r>
      <w:r>
        <w:rPr>
          <w:rFonts w:hint="eastAsia" w:ascii="宋体" w:hAnsi="宋体"/>
          <w:color w:val="auto"/>
          <w:sz w:val="24"/>
          <w:szCs w:val="24"/>
          <w:highlight w:val="none"/>
          <w:u w:val="single"/>
        </w:rPr>
        <w:t xml:space="preserve">         </w:t>
      </w:r>
      <w:r>
        <w:rPr>
          <w:rFonts w:ascii="宋体" w:hAnsi="宋体"/>
          <w:color w:val="auto"/>
          <w:sz w:val="24"/>
          <w:szCs w:val="24"/>
          <w:highlight w:val="none"/>
        </w:rPr>
        <w:t>（</w:t>
      </w:r>
      <w:r>
        <w:rPr>
          <w:rFonts w:ascii="宋体" w:hAnsi="宋体" w:cs="Arial"/>
          <w:color w:val="auto"/>
          <w:sz w:val="24"/>
          <w:szCs w:val="24"/>
          <w:highlight w:val="none"/>
        </w:rPr>
        <w:t>签字或盖章</w:t>
      </w:r>
      <w:r>
        <w:rPr>
          <w:rFonts w:ascii="宋体" w:hAnsi="宋体"/>
          <w:color w:val="auto"/>
          <w:sz w:val="24"/>
          <w:szCs w:val="24"/>
          <w:highlight w:val="none"/>
        </w:rPr>
        <w:t>）</w:t>
      </w:r>
    </w:p>
    <w:p>
      <w:pPr>
        <w:pStyle w:val="81"/>
        <w:spacing w:line="360" w:lineRule="auto"/>
        <w:ind w:firstLine="480" w:firstLineChars="200"/>
        <w:rPr>
          <w:rFonts w:ascii="宋体" w:hAnsi="宋体"/>
          <w:color w:val="auto"/>
          <w:sz w:val="24"/>
          <w:szCs w:val="24"/>
          <w:highlight w:val="none"/>
        </w:rPr>
      </w:pPr>
    </w:p>
    <w:p>
      <w:pPr>
        <w:pStyle w:val="81"/>
        <w:spacing w:line="360" w:lineRule="auto"/>
        <w:ind w:firstLine="480" w:firstLineChars="200"/>
        <w:rPr>
          <w:rFonts w:ascii="宋体" w:hAnsi="宋体"/>
          <w:color w:val="auto"/>
          <w:sz w:val="24"/>
          <w:szCs w:val="24"/>
          <w:highlight w:val="none"/>
          <w:u w:val="single"/>
        </w:rPr>
      </w:pPr>
    </w:p>
    <w:p>
      <w:pPr>
        <w:pStyle w:val="81"/>
        <w:spacing w:line="360" w:lineRule="auto"/>
        <w:ind w:firstLine="5760" w:firstLineChars="2400"/>
        <w:rPr>
          <w:color w:val="auto"/>
          <w:sz w:val="24"/>
          <w:szCs w:val="24"/>
          <w:highlight w:val="none"/>
        </w:rPr>
      </w:pP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p>
    <w:p>
      <w:pPr>
        <w:spacing w:line="360" w:lineRule="auto"/>
        <w:rPr>
          <w:rFonts w:asciiTheme="minorEastAsia" w:hAnsiTheme="minorEastAsia" w:eastAsiaTheme="minorEastAsia"/>
          <w:b/>
          <w:bCs/>
          <w:sz w:val="36"/>
          <w:szCs w:val="36"/>
        </w:rPr>
      </w:pPr>
    </w:p>
    <w:p>
      <w:pPr>
        <w:widowControl/>
        <w:jc w:val="left"/>
        <w:rPr>
          <w:rFonts w:asciiTheme="minorEastAsia" w:hAnsiTheme="minorEastAsia" w:eastAsiaTheme="minorEastAsia"/>
          <w:b/>
          <w:bCs/>
          <w:sz w:val="24"/>
          <w:szCs w:val="24"/>
          <w:lang w:val="zh-CN"/>
        </w:rPr>
      </w:pPr>
    </w:p>
    <w:p>
      <w:pPr>
        <w:widowControl/>
        <w:jc w:val="center"/>
        <w:rPr>
          <w:rFonts w:ascii="宋体" w:hAnsi="宋体" w:cs="宋体"/>
          <w:b/>
          <w:bCs/>
          <w:sz w:val="36"/>
          <w:szCs w:val="36"/>
        </w:rPr>
      </w:pPr>
      <w:r>
        <w:rPr>
          <w:rFonts w:hint="eastAsia" w:ascii="宋体" w:hAnsi="宋体" w:cs="宋体"/>
          <w:b/>
          <w:bCs/>
          <w:sz w:val="36"/>
          <w:szCs w:val="36"/>
        </w:rPr>
        <w:t>商务技术文件</w:t>
      </w:r>
    </w:p>
    <w:p>
      <w:pPr>
        <w:spacing w:line="360" w:lineRule="auto"/>
        <w:jc w:val="center"/>
        <w:rPr>
          <w:rFonts w:ascii="宋体" w:hAnsi="宋体" w:cs="宋体"/>
          <w:b/>
          <w:bCs/>
          <w:sz w:val="36"/>
          <w:szCs w:val="36"/>
        </w:rPr>
      </w:pPr>
    </w:p>
    <w:p>
      <w:pPr>
        <w:spacing w:line="360" w:lineRule="auto"/>
        <w:jc w:val="center"/>
        <w:rPr>
          <w:rFonts w:ascii="宋体" w:hAnsi="宋体" w:cs="宋体"/>
          <w:b/>
          <w:bCs/>
          <w:sz w:val="36"/>
          <w:szCs w:val="36"/>
        </w:rPr>
      </w:pPr>
      <w:r>
        <w:rPr>
          <w:rFonts w:hint="eastAsia" w:ascii="宋体" w:hAnsi="宋体" w:cs="宋体"/>
          <w:b/>
          <w:bCs/>
          <w:sz w:val="36"/>
          <w:szCs w:val="36"/>
        </w:rPr>
        <w:t>目录</w:t>
      </w:r>
    </w:p>
    <w:p>
      <w:pPr>
        <w:pStyle w:val="12"/>
        <w:ind w:left="426" w:firstLine="486"/>
      </w:pPr>
    </w:p>
    <w:p>
      <w:pPr>
        <w:pStyle w:val="52"/>
        <w:numPr>
          <w:ilvl w:val="0"/>
          <w:numId w:val="19"/>
        </w:numPr>
        <w:spacing w:before="0" w:line="336" w:lineRule="auto"/>
        <w:ind w:firstLine="480"/>
        <w:rPr>
          <w:rFonts w:ascii="宋体" w:hAnsi="宋体" w:cs="宋体"/>
        </w:rPr>
      </w:pPr>
      <w:r>
        <w:rPr>
          <w:rFonts w:hint="eastAsia" w:ascii="宋体" w:hAnsi="宋体" w:cs="宋体"/>
        </w:rPr>
        <w:t>技术响应及建议表（格式见附件）；</w:t>
      </w:r>
    </w:p>
    <w:p>
      <w:pPr>
        <w:pStyle w:val="52"/>
        <w:numPr>
          <w:ilvl w:val="0"/>
          <w:numId w:val="19"/>
        </w:numPr>
        <w:spacing w:before="0" w:line="336" w:lineRule="auto"/>
        <w:ind w:firstLine="480"/>
        <w:rPr>
          <w:rFonts w:ascii="宋体" w:hAnsi="宋体" w:cs="宋体"/>
        </w:rPr>
      </w:pPr>
      <w:r>
        <w:rPr>
          <w:rFonts w:hint="eastAsia" w:ascii="宋体" w:hAnsi="宋体" w:cs="宋体"/>
        </w:rPr>
        <w:t>废标项证明材料（即“★”的证明材料）；</w:t>
      </w:r>
    </w:p>
    <w:p>
      <w:pPr>
        <w:pStyle w:val="52"/>
        <w:numPr>
          <w:ilvl w:val="0"/>
          <w:numId w:val="19"/>
        </w:numPr>
        <w:spacing w:before="0" w:line="336" w:lineRule="auto"/>
        <w:ind w:firstLine="480"/>
        <w:rPr>
          <w:rFonts w:ascii="宋体" w:hAnsi="宋体" w:cs="宋体"/>
        </w:rPr>
      </w:pPr>
      <w:r>
        <w:rPr>
          <w:rFonts w:hint="eastAsia" w:ascii="宋体" w:hAnsi="宋体" w:cs="宋体"/>
        </w:rPr>
        <w:t xml:space="preserve">供应商认为需要的其他文件资料。 </w:t>
      </w:r>
    </w:p>
    <w:p>
      <w:pPr>
        <w:pStyle w:val="52"/>
        <w:tabs>
          <w:tab w:val="left" w:pos="0"/>
        </w:tabs>
        <w:spacing w:before="0"/>
        <w:ind w:firstLine="482"/>
        <w:rPr>
          <w:rFonts w:ascii="宋体" w:hAnsi="宋体" w:cs="宋体"/>
        </w:rPr>
      </w:pPr>
      <w:r>
        <w:rPr>
          <w:rFonts w:hint="eastAsia" w:ascii="宋体" w:hAnsi="宋体" w:cs="宋体"/>
          <w:b/>
          <w:bCs/>
        </w:rPr>
        <w:t>注：若联合体投标的，商务技术文件由联合体牵头人在规定位置盖章，投标人全称</w:t>
      </w:r>
      <w:r>
        <w:rPr>
          <w:rFonts w:ascii="宋体" w:hAnsi="宋体" w:cs="宋体"/>
          <w:b/>
          <w:bCs/>
        </w:rPr>
        <w:t>均</w:t>
      </w:r>
      <w:r>
        <w:rPr>
          <w:rFonts w:hint="eastAsia" w:ascii="宋体" w:hAnsi="宋体" w:cs="宋体"/>
          <w:b/>
          <w:bCs/>
        </w:rPr>
        <w:t>填写</w:t>
      </w:r>
      <w:r>
        <w:rPr>
          <w:rFonts w:ascii="宋体" w:hAnsi="宋体" w:cs="宋体"/>
          <w:b/>
          <w:bCs/>
        </w:rPr>
        <w:t>联合体牵头人全称，</w:t>
      </w:r>
      <w:r>
        <w:rPr>
          <w:rFonts w:hint="eastAsia" w:ascii="宋体" w:hAnsi="宋体" w:cs="宋体"/>
          <w:b/>
          <w:bCs/>
        </w:rPr>
        <w:t>由联合体牵头人的法定代表人或其授权代表在规定位置签字或盖章。</w:t>
      </w:r>
    </w:p>
    <w:p>
      <w:pPr>
        <w:pStyle w:val="2"/>
      </w:pPr>
    </w:p>
    <w:p>
      <w:pPr>
        <w:pStyle w:val="2"/>
      </w:pPr>
    </w:p>
    <w:p>
      <w:pPr>
        <w:pStyle w:val="15"/>
        <w:spacing w:line="500" w:lineRule="exact"/>
        <w:ind w:firstLine="480" w:firstLineChars="200"/>
        <w:rPr>
          <w:rFonts w:cs="Times New Roman" w:asciiTheme="minorEastAsia" w:hAnsiTheme="minorEastAsia" w:eastAsiaTheme="minorEastAsia"/>
          <w:sz w:val="24"/>
          <w:szCs w:val="24"/>
        </w:rPr>
      </w:pPr>
    </w:p>
    <w:p>
      <w:pPr>
        <w:spacing w:line="360" w:lineRule="auto"/>
        <w:ind w:firstLine="480" w:firstLineChars="200"/>
        <w:rPr>
          <w:rFonts w:asciiTheme="minorEastAsia" w:hAnsiTheme="minorEastAsia" w:eastAsiaTheme="minorEastAsia"/>
          <w:sz w:val="24"/>
          <w:szCs w:val="24"/>
        </w:rPr>
      </w:pPr>
    </w:p>
    <w:p>
      <w:pPr>
        <w:pStyle w:val="12"/>
        <w:ind w:firstLine="566"/>
        <w:rPr>
          <w:rFonts w:cs="Times New Roman" w:asciiTheme="minorEastAsia" w:hAnsiTheme="minorEastAsia" w:eastAsiaTheme="minorEastAsia"/>
          <w:sz w:val="28"/>
          <w:szCs w:val="28"/>
        </w:rPr>
      </w:pPr>
    </w:p>
    <w:p>
      <w:pPr>
        <w:pStyle w:val="12"/>
        <w:ind w:firstLine="566"/>
        <w:rPr>
          <w:rFonts w:cs="Times New Roman" w:asciiTheme="minorEastAsia" w:hAnsiTheme="minorEastAsia" w:eastAsiaTheme="minorEastAsia"/>
          <w:sz w:val="28"/>
          <w:szCs w:val="28"/>
        </w:rPr>
      </w:pPr>
    </w:p>
    <w:p>
      <w:pPr>
        <w:rPr>
          <w:rFonts w:asciiTheme="minorEastAsia" w:hAnsiTheme="minorEastAsia" w:eastAsiaTheme="minorEastAsia"/>
          <w:sz w:val="28"/>
          <w:szCs w:val="28"/>
        </w:rPr>
      </w:pPr>
      <w:r>
        <w:rPr>
          <w:rFonts w:asciiTheme="minorEastAsia" w:hAnsiTheme="minorEastAsia" w:eastAsiaTheme="minorEastAsia"/>
          <w:sz w:val="28"/>
          <w:szCs w:val="28"/>
        </w:rPr>
        <w:br w:type="page"/>
      </w:r>
    </w:p>
    <w:p>
      <w:pPr>
        <w:rPr>
          <w:rFonts w:ascii="宋体" w:hAnsi="宋体" w:cs="宋体"/>
          <w:b/>
          <w:bCs/>
          <w:sz w:val="24"/>
          <w:szCs w:val="24"/>
          <w:lang w:val="zh-CN"/>
        </w:rPr>
      </w:pPr>
      <w:r>
        <w:rPr>
          <w:rFonts w:hint="eastAsia" w:ascii="宋体" w:hAnsi="宋体" w:cs="宋体"/>
          <w:b/>
          <w:bCs/>
          <w:sz w:val="24"/>
          <w:szCs w:val="24"/>
          <w:lang w:val="zh-CN"/>
        </w:rPr>
        <w:t>附件</w:t>
      </w:r>
      <w:r>
        <w:rPr>
          <w:rFonts w:hint="eastAsia" w:ascii="宋体" w:hAnsi="宋体" w:cs="宋体"/>
          <w:b/>
          <w:bCs/>
          <w:sz w:val="24"/>
          <w:szCs w:val="24"/>
          <w:lang w:val="en-US" w:eastAsia="zh-CN"/>
        </w:rPr>
        <w:t>四</w:t>
      </w:r>
      <w:r>
        <w:rPr>
          <w:rFonts w:hint="eastAsia" w:ascii="宋体" w:hAnsi="宋体" w:cs="宋体"/>
          <w:b/>
          <w:bCs/>
          <w:sz w:val="24"/>
          <w:szCs w:val="24"/>
          <w:lang w:val="zh-CN"/>
        </w:rPr>
        <w:t>：</w:t>
      </w:r>
    </w:p>
    <w:p>
      <w:pPr>
        <w:jc w:val="center"/>
        <w:outlineLvl w:val="0"/>
        <w:rPr>
          <w:rFonts w:ascii="宋体" w:hAnsi="宋体" w:cs="宋体"/>
          <w:b/>
          <w:bCs/>
          <w:sz w:val="28"/>
          <w:szCs w:val="28"/>
        </w:rPr>
      </w:pPr>
      <w:bookmarkStart w:id="105" w:name="_Toc15735"/>
      <w:bookmarkStart w:id="106" w:name="_Toc13778"/>
      <w:bookmarkStart w:id="107" w:name="_Toc16317"/>
      <w:bookmarkStart w:id="108" w:name="_Toc1271"/>
      <w:r>
        <w:rPr>
          <w:rFonts w:hint="eastAsia" w:ascii="宋体" w:hAnsi="宋体" w:cs="宋体"/>
          <w:b/>
          <w:bCs/>
          <w:sz w:val="28"/>
          <w:szCs w:val="28"/>
        </w:rPr>
        <w:t>技术响应及建议表</w:t>
      </w:r>
      <w:bookmarkEnd w:id="105"/>
      <w:bookmarkEnd w:id="106"/>
      <w:bookmarkEnd w:id="107"/>
      <w:bookmarkEnd w:id="108"/>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项目名称：</w:t>
      </w:r>
    </w:p>
    <w:p>
      <w:pPr>
        <w:spacing w:line="360" w:lineRule="auto"/>
        <w:ind w:firstLine="480" w:firstLineChars="200"/>
        <w:rPr>
          <w:rFonts w:ascii="宋体" w:hAnsi="宋体" w:cs="宋体"/>
          <w:sz w:val="24"/>
        </w:rPr>
      </w:pPr>
      <w:r>
        <w:rPr>
          <w:rFonts w:hint="eastAsia" w:ascii="宋体" w:hAnsi="宋体" w:cs="宋体"/>
          <w:sz w:val="24"/>
        </w:rPr>
        <w:t>采购编号：</w:t>
      </w:r>
    </w:p>
    <w:tbl>
      <w:tblPr>
        <w:tblStyle w:val="26"/>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1980"/>
        <w:gridCol w:w="2520"/>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hAnsi="宋体" w:cs="宋体"/>
                <w:sz w:val="24"/>
              </w:rPr>
            </w:pPr>
            <w:r>
              <w:rPr>
                <w:rFonts w:hint="eastAsia" w:ascii="宋体" w:hAnsi="宋体" w:cs="宋体"/>
                <w:sz w:val="24"/>
              </w:rPr>
              <w:t>序号</w:t>
            </w:r>
          </w:p>
        </w:tc>
        <w:tc>
          <w:tcPr>
            <w:tcW w:w="1440" w:type="dxa"/>
            <w:vAlign w:val="center"/>
          </w:tcPr>
          <w:p>
            <w:pPr>
              <w:snapToGrid w:val="0"/>
              <w:spacing w:before="50" w:after="50"/>
              <w:jc w:val="center"/>
              <w:rPr>
                <w:rFonts w:ascii="宋体" w:hAnsi="宋体" w:cs="宋体"/>
                <w:sz w:val="24"/>
              </w:rPr>
            </w:pPr>
            <w:r>
              <w:rPr>
                <w:rFonts w:hint="eastAsia" w:ascii="宋体" w:hAnsi="宋体" w:cs="宋体"/>
                <w:sz w:val="24"/>
              </w:rPr>
              <w:t>货物名称</w:t>
            </w:r>
          </w:p>
        </w:tc>
        <w:tc>
          <w:tcPr>
            <w:tcW w:w="1980" w:type="dxa"/>
            <w:vAlign w:val="center"/>
          </w:tcPr>
          <w:p>
            <w:pPr>
              <w:snapToGrid w:val="0"/>
              <w:spacing w:before="50" w:after="50"/>
              <w:jc w:val="center"/>
              <w:rPr>
                <w:rFonts w:ascii="宋体" w:hAnsi="宋体" w:cs="宋体"/>
                <w:sz w:val="24"/>
              </w:rPr>
            </w:pPr>
            <w:r>
              <w:rPr>
                <w:rFonts w:hint="eastAsia" w:ascii="宋体" w:hAnsi="宋体" w:cs="宋体"/>
                <w:sz w:val="24"/>
              </w:rPr>
              <w:t>询价文件要求</w:t>
            </w:r>
          </w:p>
        </w:tc>
        <w:tc>
          <w:tcPr>
            <w:tcW w:w="2520" w:type="dxa"/>
            <w:vAlign w:val="center"/>
          </w:tcPr>
          <w:p>
            <w:pPr>
              <w:snapToGrid w:val="0"/>
              <w:spacing w:before="50" w:after="50"/>
              <w:jc w:val="center"/>
              <w:rPr>
                <w:rFonts w:ascii="宋体" w:hAnsi="宋体" w:cs="宋体"/>
                <w:sz w:val="24"/>
              </w:rPr>
            </w:pPr>
            <w:r>
              <w:rPr>
                <w:rFonts w:hint="eastAsia" w:ascii="宋体" w:hAnsi="宋体" w:cs="宋体"/>
                <w:sz w:val="24"/>
              </w:rPr>
              <w:t>响应文件响应</w:t>
            </w:r>
          </w:p>
        </w:tc>
        <w:tc>
          <w:tcPr>
            <w:tcW w:w="1953" w:type="dxa"/>
            <w:vAlign w:val="center"/>
          </w:tcPr>
          <w:p>
            <w:pPr>
              <w:snapToGrid w:val="0"/>
              <w:spacing w:before="50" w:after="50"/>
              <w:jc w:val="center"/>
              <w:rPr>
                <w:rFonts w:ascii="宋体" w:hAnsi="宋体" w:cs="宋体"/>
                <w:sz w:val="24"/>
              </w:rPr>
            </w:pPr>
            <w:r>
              <w:rPr>
                <w:rFonts w:hint="eastAsia" w:ascii="宋体" w:hAnsi="宋体" w:cs="宋体"/>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hAnsi="宋体" w:cs="宋体"/>
                <w:sz w:val="24"/>
              </w:rPr>
            </w:pPr>
          </w:p>
        </w:tc>
        <w:tc>
          <w:tcPr>
            <w:tcW w:w="1440" w:type="dxa"/>
            <w:vAlign w:val="center"/>
          </w:tcPr>
          <w:p>
            <w:pPr>
              <w:snapToGrid w:val="0"/>
              <w:spacing w:before="50" w:after="50"/>
              <w:jc w:val="center"/>
              <w:rPr>
                <w:rFonts w:ascii="宋体" w:hAnsi="宋体" w:cs="宋体"/>
                <w:sz w:val="24"/>
              </w:rPr>
            </w:pPr>
          </w:p>
        </w:tc>
        <w:tc>
          <w:tcPr>
            <w:tcW w:w="1980" w:type="dxa"/>
            <w:vAlign w:val="center"/>
          </w:tcPr>
          <w:p>
            <w:pPr>
              <w:snapToGrid w:val="0"/>
              <w:spacing w:before="50" w:after="50"/>
              <w:jc w:val="center"/>
              <w:rPr>
                <w:rFonts w:ascii="宋体" w:hAnsi="宋体" w:cs="宋体"/>
                <w:sz w:val="24"/>
              </w:rPr>
            </w:pPr>
          </w:p>
        </w:tc>
        <w:tc>
          <w:tcPr>
            <w:tcW w:w="2520" w:type="dxa"/>
            <w:vAlign w:val="center"/>
          </w:tcPr>
          <w:p>
            <w:pPr>
              <w:snapToGrid w:val="0"/>
              <w:spacing w:before="50" w:after="50"/>
              <w:jc w:val="center"/>
              <w:rPr>
                <w:rFonts w:ascii="宋体" w:hAnsi="宋体" w:cs="宋体"/>
                <w:sz w:val="24"/>
              </w:rPr>
            </w:pPr>
          </w:p>
        </w:tc>
        <w:tc>
          <w:tcPr>
            <w:tcW w:w="1953" w:type="dxa"/>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hAnsi="宋体" w:cs="宋体"/>
                <w:sz w:val="24"/>
              </w:rPr>
            </w:pPr>
          </w:p>
        </w:tc>
        <w:tc>
          <w:tcPr>
            <w:tcW w:w="1440" w:type="dxa"/>
            <w:vAlign w:val="center"/>
          </w:tcPr>
          <w:p>
            <w:pPr>
              <w:snapToGrid w:val="0"/>
              <w:spacing w:before="50" w:after="50"/>
              <w:jc w:val="center"/>
              <w:rPr>
                <w:rFonts w:ascii="宋体" w:hAnsi="宋体" w:cs="宋体"/>
                <w:sz w:val="24"/>
              </w:rPr>
            </w:pPr>
          </w:p>
        </w:tc>
        <w:tc>
          <w:tcPr>
            <w:tcW w:w="1980" w:type="dxa"/>
            <w:vAlign w:val="center"/>
          </w:tcPr>
          <w:p>
            <w:pPr>
              <w:snapToGrid w:val="0"/>
              <w:spacing w:before="50" w:after="50"/>
              <w:jc w:val="center"/>
              <w:rPr>
                <w:rFonts w:ascii="宋体" w:hAnsi="宋体" w:cs="宋体"/>
                <w:sz w:val="24"/>
              </w:rPr>
            </w:pPr>
          </w:p>
        </w:tc>
        <w:tc>
          <w:tcPr>
            <w:tcW w:w="2520" w:type="dxa"/>
            <w:vAlign w:val="center"/>
          </w:tcPr>
          <w:p>
            <w:pPr>
              <w:snapToGrid w:val="0"/>
              <w:spacing w:before="50" w:after="50"/>
              <w:jc w:val="center"/>
              <w:rPr>
                <w:rFonts w:ascii="宋体" w:hAnsi="宋体" w:cs="宋体"/>
                <w:sz w:val="24"/>
              </w:rPr>
            </w:pPr>
          </w:p>
        </w:tc>
        <w:tc>
          <w:tcPr>
            <w:tcW w:w="1953" w:type="dxa"/>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hAnsi="宋体" w:cs="宋体"/>
                <w:sz w:val="24"/>
              </w:rPr>
            </w:pPr>
          </w:p>
        </w:tc>
        <w:tc>
          <w:tcPr>
            <w:tcW w:w="1440" w:type="dxa"/>
            <w:vAlign w:val="center"/>
          </w:tcPr>
          <w:p>
            <w:pPr>
              <w:snapToGrid w:val="0"/>
              <w:spacing w:before="50" w:after="50"/>
              <w:jc w:val="center"/>
              <w:rPr>
                <w:rFonts w:ascii="宋体" w:hAnsi="宋体" w:cs="宋体"/>
                <w:sz w:val="24"/>
              </w:rPr>
            </w:pPr>
          </w:p>
        </w:tc>
        <w:tc>
          <w:tcPr>
            <w:tcW w:w="1980" w:type="dxa"/>
            <w:vAlign w:val="center"/>
          </w:tcPr>
          <w:p>
            <w:pPr>
              <w:snapToGrid w:val="0"/>
              <w:spacing w:before="50" w:after="50"/>
              <w:jc w:val="center"/>
              <w:rPr>
                <w:rFonts w:ascii="宋体" w:hAnsi="宋体" w:cs="宋体"/>
                <w:sz w:val="24"/>
              </w:rPr>
            </w:pPr>
          </w:p>
        </w:tc>
        <w:tc>
          <w:tcPr>
            <w:tcW w:w="2520" w:type="dxa"/>
            <w:vAlign w:val="center"/>
          </w:tcPr>
          <w:p>
            <w:pPr>
              <w:snapToGrid w:val="0"/>
              <w:spacing w:before="50" w:after="50"/>
              <w:jc w:val="center"/>
              <w:rPr>
                <w:rFonts w:ascii="宋体" w:hAnsi="宋体" w:cs="宋体"/>
                <w:sz w:val="24"/>
              </w:rPr>
            </w:pPr>
          </w:p>
        </w:tc>
        <w:tc>
          <w:tcPr>
            <w:tcW w:w="1953" w:type="dxa"/>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hAnsi="宋体" w:cs="宋体"/>
                <w:sz w:val="24"/>
              </w:rPr>
            </w:pPr>
          </w:p>
        </w:tc>
        <w:tc>
          <w:tcPr>
            <w:tcW w:w="1440" w:type="dxa"/>
            <w:vAlign w:val="center"/>
          </w:tcPr>
          <w:p>
            <w:pPr>
              <w:snapToGrid w:val="0"/>
              <w:spacing w:before="50" w:after="50"/>
              <w:jc w:val="center"/>
              <w:rPr>
                <w:rFonts w:ascii="宋体" w:hAnsi="宋体" w:cs="宋体"/>
                <w:sz w:val="24"/>
              </w:rPr>
            </w:pPr>
          </w:p>
        </w:tc>
        <w:tc>
          <w:tcPr>
            <w:tcW w:w="1980" w:type="dxa"/>
            <w:vAlign w:val="center"/>
          </w:tcPr>
          <w:p>
            <w:pPr>
              <w:snapToGrid w:val="0"/>
              <w:spacing w:before="50" w:after="50"/>
              <w:jc w:val="center"/>
              <w:rPr>
                <w:rFonts w:ascii="宋体" w:hAnsi="宋体" w:cs="宋体"/>
                <w:sz w:val="24"/>
              </w:rPr>
            </w:pPr>
          </w:p>
        </w:tc>
        <w:tc>
          <w:tcPr>
            <w:tcW w:w="2520" w:type="dxa"/>
            <w:vAlign w:val="center"/>
          </w:tcPr>
          <w:p>
            <w:pPr>
              <w:snapToGrid w:val="0"/>
              <w:spacing w:before="50" w:after="50"/>
              <w:jc w:val="center"/>
              <w:rPr>
                <w:rFonts w:ascii="宋体" w:hAnsi="宋体" w:cs="宋体"/>
                <w:sz w:val="24"/>
              </w:rPr>
            </w:pPr>
          </w:p>
        </w:tc>
        <w:tc>
          <w:tcPr>
            <w:tcW w:w="1953" w:type="dxa"/>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hAnsi="宋体" w:cs="宋体"/>
                <w:sz w:val="24"/>
              </w:rPr>
            </w:pPr>
          </w:p>
        </w:tc>
        <w:tc>
          <w:tcPr>
            <w:tcW w:w="1440" w:type="dxa"/>
            <w:vAlign w:val="center"/>
          </w:tcPr>
          <w:p>
            <w:pPr>
              <w:snapToGrid w:val="0"/>
              <w:spacing w:before="50" w:after="50"/>
              <w:jc w:val="center"/>
              <w:rPr>
                <w:rFonts w:ascii="宋体" w:hAnsi="宋体" w:cs="宋体"/>
                <w:sz w:val="24"/>
              </w:rPr>
            </w:pPr>
          </w:p>
        </w:tc>
        <w:tc>
          <w:tcPr>
            <w:tcW w:w="1980" w:type="dxa"/>
            <w:vAlign w:val="center"/>
          </w:tcPr>
          <w:p>
            <w:pPr>
              <w:snapToGrid w:val="0"/>
              <w:spacing w:before="50" w:after="50"/>
              <w:jc w:val="center"/>
              <w:rPr>
                <w:rFonts w:ascii="宋体" w:hAnsi="宋体" w:cs="宋体"/>
                <w:sz w:val="24"/>
              </w:rPr>
            </w:pPr>
          </w:p>
        </w:tc>
        <w:tc>
          <w:tcPr>
            <w:tcW w:w="2520" w:type="dxa"/>
            <w:vAlign w:val="center"/>
          </w:tcPr>
          <w:p>
            <w:pPr>
              <w:snapToGrid w:val="0"/>
              <w:spacing w:before="50" w:after="50"/>
              <w:jc w:val="center"/>
              <w:rPr>
                <w:rFonts w:ascii="宋体" w:hAnsi="宋体" w:cs="宋体"/>
                <w:sz w:val="24"/>
              </w:rPr>
            </w:pPr>
          </w:p>
        </w:tc>
        <w:tc>
          <w:tcPr>
            <w:tcW w:w="1953" w:type="dxa"/>
            <w:vAlign w:val="center"/>
          </w:tcPr>
          <w:p>
            <w:pPr>
              <w:snapToGrid w:val="0"/>
              <w:spacing w:before="50" w:after="5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160" w:type="dxa"/>
            <w:gridSpan w:val="2"/>
            <w:vAlign w:val="center"/>
          </w:tcPr>
          <w:p>
            <w:pPr>
              <w:snapToGrid w:val="0"/>
              <w:spacing w:before="50" w:after="50"/>
              <w:jc w:val="center"/>
              <w:rPr>
                <w:rFonts w:ascii="宋体" w:hAnsi="宋体" w:cs="宋体"/>
                <w:sz w:val="24"/>
              </w:rPr>
            </w:pPr>
            <w:r>
              <w:rPr>
                <w:rFonts w:hint="eastAsia" w:ascii="宋体" w:hAnsi="宋体" w:cs="宋体"/>
                <w:sz w:val="24"/>
              </w:rPr>
              <w:t>响应建议</w:t>
            </w:r>
          </w:p>
        </w:tc>
        <w:tc>
          <w:tcPr>
            <w:tcW w:w="6453" w:type="dxa"/>
            <w:gridSpan w:val="3"/>
            <w:vAlign w:val="center"/>
          </w:tcPr>
          <w:p>
            <w:pPr>
              <w:spacing w:line="360" w:lineRule="auto"/>
              <w:jc w:val="center"/>
              <w:rPr>
                <w:rFonts w:ascii="宋体" w:hAnsi="宋体" w:cs="宋体"/>
                <w:sz w:val="24"/>
              </w:rPr>
            </w:pPr>
          </w:p>
        </w:tc>
      </w:tr>
    </w:tbl>
    <w:p>
      <w:pPr>
        <w:snapToGrid w:val="0"/>
        <w:spacing w:line="360" w:lineRule="auto"/>
        <w:rPr>
          <w:rFonts w:ascii="宋体" w:hAnsi="宋体" w:cs="宋体"/>
          <w:sz w:val="24"/>
        </w:rPr>
      </w:pPr>
    </w:p>
    <w:p>
      <w:pPr>
        <w:pStyle w:val="15"/>
        <w:spacing w:line="360" w:lineRule="auto"/>
        <w:rPr>
          <w:rFonts w:hAnsi="宋体"/>
          <w:sz w:val="24"/>
        </w:rPr>
      </w:pPr>
      <w:r>
        <w:rPr>
          <w:rFonts w:hint="eastAsia" w:hAnsi="宋体"/>
          <w:sz w:val="24"/>
        </w:rPr>
        <w:t>注：名称可基于项目清单根据供应商实际情况调整。</w:t>
      </w:r>
    </w:p>
    <w:p>
      <w:pPr>
        <w:rPr>
          <w:rFonts w:ascii="宋体" w:hAnsi="宋体" w:cs="宋体"/>
          <w:sz w:val="24"/>
        </w:rPr>
      </w:pPr>
    </w:p>
    <w:p>
      <w:pPr>
        <w:pStyle w:val="12"/>
      </w:pPr>
    </w:p>
    <w:p>
      <w:pPr>
        <w:pStyle w:val="12"/>
      </w:pPr>
    </w:p>
    <w:p>
      <w:pPr>
        <w:snapToGrid w:val="0"/>
        <w:spacing w:before="156" w:beforeLines="50"/>
        <w:rPr>
          <w:rFonts w:ascii="宋体" w:hAnsi="宋体" w:cs="宋体"/>
          <w:sz w:val="24"/>
          <w:szCs w:val="24"/>
        </w:rPr>
      </w:pPr>
    </w:p>
    <w:p>
      <w:pPr>
        <w:spacing w:line="360" w:lineRule="auto"/>
        <w:ind w:left="3600" w:leftChars="1800" w:firstLine="480" w:firstLineChars="200"/>
        <w:rPr>
          <w:rFonts w:ascii="宋体" w:hAnsi="宋体" w:cs="宋体"/>
          <w:sz w:val="24"/>
          <w:szCs w:val="24"/>
        </w:rPr>
      </w:pPr>
      <w:r>
        <w:rPr>
          <w:rFonts w:hint="eastAsia" w:ascii="宋体" w:hAnsi="宋体" w:cs="宋体"/>
          <w:sz w:val="24"/>
          <w:szCs w:val="24"/>
        </w:rPr>
        <w:t>法定代表人签名（或签名章）：</w:t>
      </w:r>
    </w:p>
    <w:p>
      <w:pPr>
        <w:spacing w:line="360" w:lineRule="auto"/>
        <w:ind w:left="3600" w:leftChars="1800" w:firstLine="480" w:firstLineChars="200"/>
        <w:rPr>
          <w:rFonts w:ascii="宋体" w:hAnsi="宋体" w:cs="宋体"/>
          <w:sz w:val="24"/>
          <w:szCs w:val="24"/>
        </w:rPr>
      </w:pPr>
      <w:r>
        <w:rPr>
          <w:rFonts w:hint="eastAsia" w:ascii="宋体" w:hAnsi="宋体" w:cs="宋体"/>
          <w:sz w:val="24"/>
          <w:szCs w:val="24"/>
        </w:rPr>
        <w:t>日期：</w:t>
      </w:r>
    </w:p>
    <w:p>
      <w:pPr>
        <w:spacing w:line="360" w:lineRule="auto"/>
        <w:ind w:left="3600" w:leftChars="1800" w:firstLine="480" w:firstLineChars="200"/>
        <w:rPr>
          <w:rFonts w:asciiTheme="minorEastAsia" w:hAnsiTheme="minorEastAsia" w:eastAsiaTheme="minorEastAsia"/>
          <w:spacing w:val="20"/>
          <w:sz w:val="30"/>
          <w:szCs w:val="30"/>
        </w:rPr>
        <w:sectPr>
          <w:headerReference r:id="rId5" w:type="default"/>
          <w:footerReference r:id="rId6" w:type="default"/>
          <w:pgSz w:w="11906" w:h="16838"/>
          <w:pgMar w:top="1440" w:right="1800" w:bottom="1440" w:left="1800" w:header="851" w:footer="992" w:gutter="0"/>
          <w:cols w:space="425" w:num="1"/>
          <w:docGrid w:type="lines" w:linePitch="312" w:charSpace="0"/>
        </w:sectPr>
      </w:pPr>
      <w:r>
        <w:rPr>
          <w:rFonts w:hint="eastAsia" w:ascii="宋体" w:hAnsi="宋体" w:cs="宋体"/>
          <w:sz w:val="24"/>
          <w:szCs w:val="24"/>
        </w:rPr>
        <w:t>供应商全称（公章）：</w:t>
      </w:r>
    </w:p>
    <w:p>
      <w:pPr>
        <w:spacing w:line="360" w:lineRule="auto"/>
        <w:jc w:val="center"/>
        <w:rPr>
          <w:rFonts w:asciiTheme="minorEastAsia" w:hAnsiTheme="minorEastAsia" w:eastAsiaTheme="minorEastAsia"/>
          <w:b/>
          <w:bCs/>
          <w:sz w:val="36"/>
          <w:szCs w:val="36"/>
        </w:rPr>
      </w:pPr>
      <w:r>
        <w:rPr>
          <w:rFonts w:hint="eastAsia" w:cs="宋体" w:asciiTheme="minorEastAsia" w:hAnsiTheme="minorEastAsia" w:eastAsiaTheme="minorEastAsia"/>
          <w:b/>
          <w:bCs/>
          <w:sz w:val="36"/>
          <w:szCs w:val="36"/>
        </w:rPr>
        <w:t>报价文件</w:t>
      </w:r>
    </w:p>
    <w:p>
      <w:pPr>
        <w:spacing w:line="360" w:lineRule="auto"/>
        <w:jc w:val="center"/>
        <w:rPr>
          <w:rFonts w:asciiTheme="minorEastAsia" w:hAnsiTheme="minorEastAsia" w:eastAsiaTheme="minorEastAsia"/>
          <w:b/>
          <w:bCs/>
          <w:sz w:val="36"/>
          <w:szCs w:val="36"/>
        </w:rPr>
      </w:pPr>
    </w:p>
    <w:p>
      <w:pPr>
        <w:spacing w:line="360" w:lineRule="auto"/>
        <w:jc w:val="center"/>
        <w:rPr>
          <w:rFonts w:asciiTheme="minorEastAsia" w:hAnsiTheme="minorEastAsia" w:eastAsiaTheme="minorEastAsia"/>
          <w:b/>
          <w:bCs/>
          <w:sz w:val="36"/>
          <w:szCs w:val="36"/>
        </w:rPr>
      </w:pPr>
      <w:r>
        <w:rPr>
          <w:rFonts w:hint="eastAsia" w:cs="宋体" w:asciiTheme="minorEastAsia" w:hAnsiTheme="minorEastAsia" w:eastAsiaTheme="minorEastAsia"/>
          <w:b/>
          <w:bCs/>
          <w:sz w:val="36"/>
          <w:szCs w:val="36"/>
        </w:rPr>
        <w:t>目录</w:t>
      </w:r>
    </w:p>
    <w:p>
      <w:pPr>
        <w:pStyle w:val="12"/>
        <w:ind w:firstLine="723"/>
        <w:rPr>
          <w:rFonts w:cs="Times New Roman" w:asciiTheme="minorEastAsia" w:hAnsiTheme="minorEastAsia" w:eastAsiaTheme="minorEastAsia"/>
          <w:b/>
          <w:bCs/>
          <w:sz w:val="36"/>
          <w:szCs w:val="36"/>
        </w:rPr>
      </w:pPr>
    </w:p>
    <w:p>
      <w:pPr>
        <w:spacing w:line="360" w:lineRule="auto"/>
        <w:rPr>
          <w:rFonts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）报价函；</w:t>
      </w:r>
    </w:p>
    <w:p>
      <w:pPr>
        <w:spacing w:line="360" w:lineRule="auto"/>
        <w:rPr>
          <w:rFonts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）报价一览表；</w:t>
      </w:r>
    </w:p>
    <w:p>
      <w:pPr>
        <w:spacing w:line="360" w:lineRule="auto"/>
        <w:rPr>
          <w:rFonts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）报价明细表。</w:t>
      </w:r>
    </w:p>
    <w:p>
      <w:pPr>
        <w:pStyle w:val="52"/>
        <w:tabs>
          <w:tab w:val="left" w:pos="0"/>
        </w:tabs>
        <w:spacing w:before="0"/>
        <w:ind w:firstLine="602" w:firstLineChars="250"/>
        <w:rPr>
          <w:rFonts w:ascii="宋体" w:hAnsi="宋体" w:cs="宋体"/>
          <w:b/>
          <w:bCs/>
        </w:rPr>
      </w:pPr>
      <w:r>
        <w:rPr>
          <w:rFonts w:hint="eastAsia" w:ascii="宋体" w:hAnsi="宋体" w:cs="宋体"/>
          <w:b/>
          <w:bCs/>
        </w:rPr>
        <w:t>注：若联合体投标的，报价文件由联合体牵头人在规定位置盖章，投标人全称</w:t>
      </w:r>
      <w:r>
        <w:rPr>
          <w:rFonts w:ascii="宋体" w:hAnsi="宋体" w:cs="宋体"/>
          <w:b/>
          <w:bCs/>
        </w:rPr>
        <w:t>均</w:t>
      </w:r>
      <w:r>
        <w:rPr>
          <w:rFonts w:hint="eastAsia" w:ascii="宋体" w:hAnsi="宋体" w:cs="宋体"/>
          <w:b/>
          <w:bCs/>
        </w:rPr>
        <w:t>填写</w:t>
      </w:r>
      <w:r>
        <w:rPr>
          <w:rFonts w:ascii="宋体" w:hAnsi="宋体" w:cs="宋体"/>
          <w:b/>
          <w:bCs/>
        </w:rPr>
        <w:t>联合体牵头人全称，</w:t>
      </w:r>
      <w:r>
        <w:rPr>
          <w:rFonts w:hint="eastAsia" w:ascii="宋体" w:hAnsi="宋体" w:cs="宋体"/>
          <w:b/>
          <w:bCs/>
        </w:rPr>
        <w:t>由联合体牵头人的法定代表人或其授权代表在规定位置签字或盖章。</w:t>
      </w:r>
    </w:p>
    <w:p>
      <w:pPr>
        <w:rPr>
          <w:rFonts w:asciiTheme="minorEastAsia" w:hAnsiTheme="minorEastAsia" w:eastAsiaTheme="minorEastAsia"/>
        </w:rPr>
      </w:pPr>
      <w:r>
        <w:rPr>
          <w:rFonts w:asciiTheme="minorEastAsia" w:hAnsiTheme="minorEastAsia" w:eastAsiaTheme="minorEastAsia"/>
        </w:rPr>
        <w:br w:type="page"/>
      </w:r>
    </w:p>
    <w:p>
      <w:pPr>
        <w:rPr>
          <w:rFonts w:asciiTheme="minorEastAsia" w:hAnsiTheme="minorEastAsia" w:eastAsiaTheme="minorEastAsia"/>
          <w:b/>
          <w:bCs/>
          <w:lang w:val="zh-CN"/>
        </w:rPr>
      </w:pPr>
      <w:bookmarkStart w:id="109" w:name="_Toc3094"/>
      <w:r>
        <w:rPr>
          <w:rFonts w:hint="eastAsia" w:cs="宋体" w:asciiTheme="minorEastAsia" w:hAnsiTheme="minorEastAsia" w:eastAsiaTheme="minorEastAsia"/>
          <w:b/>
          <w:bCs/>
          <w:sz w:val="24"/>
          <w:szCs w:val="24"/>
          <w:lang w:val="zh-CN"/>
        </w:rPr>
        <w:t>附件</w:t>
      </w:r>
      <w:bookmarkStart w:id="110" w:name="_Toc130094924"/>
      <w:bookmarkStart w:id="111" w:name="_Toc98731770"/>
      <w:r>
        <w:rPr>
          <w:rFonts w:hint="eastAsia" w:cs="宋体" w:asciiTheme="minorEastAsia" w:hAnsiTheme="minorEastAsia" w:eastAsiaTheme="minorEastAsia"/>
          <w:b/>
          <w:bCs/>
          <w:sz w:val="24"/>
          <w:szCs w:val="24"/>
          <w:lang w:val="en-US" w:eastAsia="zh-CN"/>
        </w:rPr>
        <w:t>五</w:t>
      </w:r>
      <w:r>
        <w:rPr>
          <w:rFonts w:hint="eastAsia" w:cs="宋体" w:asciiTheme="minorEastAsia" w:hAnsiTheme="minorEastAsia" w:eastAsiaTheme="minorEastAsia"/>
          <w:b/>
          <w:bCs/>
          <w:sz w:val="24"/>
          <w:szCs w:val="24"/>
        </w:rPr>
        <w:t>：</w:t>
      </w:r>
    </w:p>
    <w:p>
      <w:pPr>
        <w:spacing w:line="360" w:lineRule="auto"/>
        <w:jc w:val="center"/>
        <w:rPr>
          <w:rFonts w:asciiTheme="minorEastAsia" w:hAnsiTheme="minorEastAsia" w:eastAsiaTheme="minorEastAsia"/>
          <w:b/>
          <w:bCs/>
          <w:sz w:val="32"/>
          <w:szCs w:val="32"/>
        </w:rPr>
      </w:pPr>
      <w:r>
        <w:rPr>
          <w:rFonts w:hint="eastAsia" w:cs="宋体" w:asciiTheme="minorEastAsia" w:hAnsiTheme="minorEastAsia" w:eastAsiaTheme="minorEastAsia"/>
          <w:b/>
          <w:bCs/>
          <w:sz w:val="32"/>
          <w:szCs w:val="32"/>
        </w:rPr>
        <w:t>报价函</w:t>
      </w:r>
      <w:bookmarkEnd w:id="109"/>
      <w:bookmarkEnd w:id="110"/>
      <w:bookmarkEnd w:id="111"/>
    </w:p>
    <w:p>
      <w:pPr>
        <w:spacing w:line="360" w:lineRule="auto"/>
        <w:ind w:firstLine="480" w:firstLineChars="200"/>
        <w:rPr>
          <w:rFonts w:asciiTheme="minorEastAsia" w:hAnsiTheme="minorEastAsia" w:eastAsiaTheme="minorEastAsia"/>
          <w:sz w:val="24"/>
          <w:szCs w:val="24"/>
          <w:u w:val="single"/>
        </w:rPr>
      </w:pP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lang w:eastAsia="zh-CN"/>
        </w:rPr>
        <w:t>绍兴市上虞</w:t>
      </w:r>
      <w:r>
        <w:rPr>
          <w:rFonts w:hint="eastAsia" w:cs="宋体" w:asciiTheme="minorEastAsia" w:hAnsiTheme="minorEastAsia" w:eastAsiaTheme="minorEastAsia"/>
          <w:sz w:val="24"/>
          <w:szCs w:val="24"/>
          <w:lang w:val="en-US" w:eastAsia="zh-CN"/>
        </w:rPr>
        <w:t>城市建设集团</w:t>
      </w:r>
      <w:r>
        <w:rPr>
          <w:rFonts w:hint="eastAsia" w:cs="宋体" w:asciiTheme="minorEastAsia" w:hAnsiTheme="minorEastAsia" w:eastAsiaTheme="minorEastAsia"/>
          <w:sz w:val="24"/>
          <w:szCs w:val="24"/>
          <w:lang w:eastAsia="zh-CN"/>
        </w:rPr>
        <w:t>有限公司</w:t>
      </w:r>
      <w:r>
        <w:rPr>
          <w:rFonts w:hint="eastAsia" w:cs="宋体" w:asciiTheme="minorEastAsia" w:hAnsiTheme="minorEastAsia" w:eastAsiaTheme="minorEastAsia"/>
          <w:sz w:val="24"/>
          <w:szCs w:val="24"/>
        </w:rPr>
        <w:t>：</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绍兴明晨建设项目管理有限公司：</w:t>
      </w:r>
    </w:p>
    <w:p>
      <w:pPr>
        <w:spacing w:line="360" w:lineRule="auto"/>
        <w:ind w:firstLine="48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我单位认真研究了关于的询价文件，包括修改文件（如有的话）以及全部参考资料和有关附件。我们完全理解并接受询价文件的各项规定和要求，对询价文件的合理性、合法性不再有异议。如询价文件前后有矛盾的，我方完全同意按贵方的理解处理。我单位承诺：</w:t>
      </w:r>
    </w:p>
    <w:p>
      <w:pPr>
        <w:spacing w:line="360" w:lineRule="auto"/>
        <w:ind w:firstLine="480" w:firstLineChars="240"/>
        <w:rPr>
          <w:rFonts w:asciiTheme="minorEastAsia" w:hAnsiTheme="minorEastAsia" w:eastAsiaTheme="minorEastAsia"/>
          <w:sz w:val="24"/>
          <w:szCs w:val="24"/>
        </w:rPr>
      </w:pPr>
      <w:r>
        <w:rPr>
          <w:rFonts w:asciiTheme="minorEastAsia" w:hAnsiTheme="minorEastAsia" w:eastAsiaTheme="minorEastAsia"/>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495300</wp:posOffset>
                </wp:positionV>
                <wp:extent cx="635" cy="0"/>
                <wp:effectExtent l="0" t="0" r="0" b="0"/>
                <wp:wrapNone/>
                <wp:docPr id="1" name="直线 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3" o:spid="_x0000_s1026" o:spt="20" style="position:absolute;left:0pt;margin-left:9pt;margin-top:39pt;height:0pt;width:0.05pt;z-index:251659264;mso-width-relative:page;mso-height-relative:page;" filled="f" stroked="t" coordsize="21600,21600" o:allowincell="f" o:gfxdata="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6T0kGtIAAAAHAQAADwAAAAAA&#10;AAABACAAAAAiAAAAZHJzL2Rvd25yZXYueG1sUEsBAhQAFAAAAAgAh07iQJF8yb/gAQAA2QMAAA4A&#10;AAAAAAAAAQAgAAAAIQEAAGRycy9lMm9Eb2MueG1sUEsFBgAAAAAGAAYAWQEAAHMFAAAAAA==&#10;">
                <v:fill on="f" focussize="0,0"/>
                <v:stroke color="#000000" joinstyle="round"/>
                <v:imagedata o:title=""/>
                <o:lock v:ext="edit" aspectratio="f"/>
              </v:line>
            </w:pict>
          </mc:Fallback>
        </mc:AlternateConten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、一旦我单位中标，我单位愿意承接报价一览表中所列的技术服务，供货期限：</w:t>
      </w:r>
      <w:r>
        <w:rPr>
          <w:rFonts w:hint="eastAsia" w:cs="宋体"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、我单位同意提供按照采购人的可能要求与其投标有关的一切数据和资料，完全理解采购人不一定要接受最低价者作为成交供应商。</w:t>
      </w:r>
    </w:p>
    <w:p>
      <w:pPr>
        <w:spacing w:line="360" w:lineRule="auto"/>
        <w:ind w:firstLine="480" w:firstLineChars="200"/>
        <w:rPr>
          <w:rFonts w:asciiTheme="minorEastAsia" w:hAnsiTheme="minorEastAsia" w:eastAsiaTheme="minorEastAsia"/>
          <w:sz w:val="24"/>
          <w:szCs w:val="24"/>
        </w:rPr>
      </w:pP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、一旦我单位中标，我们保证按照询价文件的要求，完成服务。</w:t>
      </w:r>
    </w:p>
    <w:p>
      <w:pPr>
        <w:spacing w:line="360" w:lineRule="auto"/>
        <w:ind w:firstLine="480" w:firstLineChars="200"/>
        <w:rPr>
          <w:rFonts w:asciiTheme="minorEastAsia" w:hAnsiTheme="minorEastAsia" w:eastAsiaTheme="minorEastAsia"/>
          <w:sz w:val="24"/>
          <w:szCs w:val="24"/>
        </w:rPr>
      </w:pPr>
      <w:r>
        <w:rPr>
          <w:rFonts w:cs="宋体" w:asciiTheme="minorEastAsia" w:hAnsiTheme="minorEastAsia" w:eastAsiaTheme="minorEastAsia"/>
          <w:sz w:val="24"/>
          <w:szCs w:val="24"/>
        </w:rPr>
        <w:t>4</w:t>
      </w:r>
      <w:r>
        <w:rPr>
          <w:rFonts w:hint="eastAsia" w:cs="宋体" w:asciiTheme="minorEastAsia" w:hAnsiTheme="minorEastAsia" w:eastAsiaTheme="minorEastAsia"/>
          <w:sz w:val="24"/>
          <w:szCs w:val="24"/>
        </w:rPr>
        <w:t>、如果我单位中标，我方将按照要求提交履约保证金，严格履行合同义务。</w:t>
      </w:r>
    </w:p>
    <w:p>
      <w:pPr>
        <w:spacing w:line="360" w:lineRule="auto"/>
        <w:ind w:firstLine="480" w:firstLineChars="200"/>
        <w:rPr>
          <w:rFonts w:asciiTheme="minorEastAsia" w:hAnsiTheme="minorEastAsia" w:eastAsiaTheme="minorEastAsia"/>
          <w:sz w:val="24"/>
          <w:szCs w:val="24"/>
        </w:rPr>
      </w:pPr>
      <w:r>
        <w:rPr>
          <w:rFonts w:cs="宋体" w:asciiTheme="minorEastAsia" w:hAnsiTheme="minorEastAsia" w:eastAsiaTheme="minorEastAsia"/>
          <w:sz w:val="24"/>
          <w:szCs w:val="24"/>
        </w:rPr>
        <w:t>5</w:t>
      </w:r>
      <w:r>
        <w:rPr>
          <w:rFonts w:hint="eastAsia" w:cs="宋体" w:asciiTheme="minorEastAsia" w:hAnsiTheme="minorEastAsia" w:eastAsiaTheme="minorEastAsia"/>
          <w:sz w:val="24"/>
          <w:szCs w:val="24"/>
        </w:rPr>
        <w:t>、除非另行达成协议并生效，你方的成交通知书和本询价函将构成约束你我双方的合同。</w:t>
      </w:r>
    </w:p>
    <w:p>
      <w:pPr>
        <w:spacing w:line="360" w:lineRule="auto"/>
        <w:ind w:firstLine="480" w:firstLineChars="200"/>
        <w:rPr>
          <w:rFonts w:asciiTheme="minorEastAsia" w:hAnsiTheme="minorEastAsia" w:eastAsiaTheme="minorEastAsia"/>
          <w:sz w:val="24"/>
          <w:szCs w:val="24"/>
        </w:rPr>
      </w:pPr>
      <w:r>
        <w:rPr>
          <w:rFonts w:cs="宋体" w:asciiTheme="minorEastAsia" w:hAnsiTheme="minorEastAsia" w:eastAsiaTheme="minorEastAsia"/>
          <w:sz w:val="24"/>
          <w:szCs w:val="24"/>
        </w:rPr>
        <w:t>6</w:t>
      </w:r>
      <w:r>
        <w:rPr>
          <w:rFonts w:hint="eastAsia" w:cs="宋体" w:asciiTheme="minorEastAsia" w:hAnsiTheme="minorEastAsia" w:eastAsiaTheme="minorEastAsia"/>
          <w:sz w:val="24"/>
          <w:szCs w:val="24"/>
        </w:rPr>
        <w:t>、我单位承诺，一旦发生询价文件第二部分第</w:t>
      </w:r>
      <w:r>
        <w:rPr>
          <w:rFonts w:cs="宋体" w:asciiTheme="minorEastAsia" w:hAnsiTheme="minorEastAsia" w:eastAsiaTheme="minorEastAsia"/>
          <w:sz w:val="24"/>
          <w:szCs w:val="24"/>
        </w:rPr>
        <w:t>11</w:t>
      </w:r>
      <w:r>
        <w:rPr>
          <w:rFonts w:hint="eastAsia" w:cs="宋体" w:asciiTheme="minorEastAsia" w:hAnsiTheme="minorEastAsia" w:eastAsiaTheme="minorEastAsia"/>
          <w:sz w:val="24"/>
          <w:szCs w:val="24"/>
        </w:rPr>
        <w:t>条规定情形之一的，承担该条款约定的责任。</w:t>
      </w:r>
    </w:p>
    <w:p>
      <w:pPr>
        <w:pStyle w:val="15"/>
        <w:snapToGrid w:val="0"/>
        <w:spacing w:line="360" w:lineRule="auto"/>
        <w:ind w:left="480"/>
        <w:rPr>
          <w:rFonts w:asciiTheme="minorEastAsia" w:hAnsiTheme="minorEastAsia" w:eastAsiaTheme="minorEastAsia"/>
          <w:sz w:val="24"/>
          <w:szCs w:val="24"/>
        </w:rPr>
      </w:pPr>
    </w:p>
    <w:p>
      <w:pPr>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地址：                             邮编：</w:t>
      </w:r>
    </w:p>
    <w:p>
      <w:pPr>
        <w:spacing w:line="360" w:lineRule="auto"/>
        <w:ind w:firstLine="480" w:firstLineChars="200"/>
        <w:rPr>
          <w:rFonts w:asciiTheme="minorEastAsia" w:hAnsiTheme="minorEastAsia" w:eastAsiaTheme="minorEastAsia"/>
          <w:sz w:val="24"/>
          <w:szCs w:val="24"/>
          <w:u w:val="single"/>
        </w:rPr>
      </w:pPr>
      <w:r>
        <w:rPr>
          <w:rFonts w:hint="eastAsia" w:cs="宋体" w:asciiTheme="minorEastAsia" w:hAnsiTheme="minorEastAsia" w:eastAsiaTheme="minorEastAsia"/>
          <w:sz w:val="24"/>
          <w:szCs w:val="24"/>
        </w:rPr>
        <w:t>电话：                             传真：</w:t>
      </w:r>
    </w:p>
    <w:p>
      <w:pPr>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供应商代表姓名：                   职务：</w:t>
      </w:r>
    </w:p>
    <w:p>
      <w:pPr>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供应商名称：</w:t>
      </w:r>
      <w:r>
        <w:rPr>
          <w:rFonts w:hint="eastAsia" w:cs="宋体" w:asciiTheme="minorEastAsia" w:hAnsiTheme="minorEastAsia" w:eastAsiaTheme="minorEastAsia"/>
          <w:sz w:val="24"/>
          <w:szCs w:val="24"/>
          <w:u w:val="single"/>
        </w:rPr>
        <w:t>　　　</w:t>
      </w:r>
    </w:p>
    <w:p>
      <w:pPr>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（公章）：</w:t>
      </w:r>
    </w:p>
    <w:p>
      <w:pPr>
        <w:spacing w:line="360" w:lineRule="auto"/>
        <w:ind w:left="3600" w:leftChars="1800"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法定代表人签名（或签名章）：</w:t>
      </w:r>
    </w:p>
    <w:p>
      <w:pPr>
        <w:spacing w:line="360" w:lineRule="auto"/>
        <w:ind w:left="3600" w:leftChars="1800"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日期：</w:t>
      </w:r>
    </w:p>
    <w:p>
      <w:pPr>
        <w:spacing w:line="360" w:lineRule="auto"/>
        <w:ind w:firstLine="5280" w:firstLineChars="2200"/>
        <w:rPr>
          <w:rFonts w:asciiTheme="minorEastAsia" w:hAnsiTheme="minorEastAsia" w:eastAsiaTheme="minorEastAsia"/>
          <w:sz w:val="24"/>
          <w:szCs w:val="24"/>
        </w:rPr>
      </w:pPr>
    </w:p>
    <w:p>
      <w:pPr>
        <w:rPr>
          <w:rFonts w:asciiTheme="minorEastAsia" w:hAnsiTheme="minorEastAsia" w:eastAsiaTheme="minorEastAsia"/>
          <w:sz w:val="24"/>
          <w:szCs w:val="24"/>
          <w:lang w:val="zh-CN"/>
        </w:rPr>
      </w:pPr>
      <w:bookmarkStart w:id="112" w:name="_Toc12011"/>
      <w:r>
        <w:rPr>
          <w:rFonts w:asciiTheme="minorEastAsia" w:hAnsiTheme="minorEastAsia" w:eastAsiaTheme="minorEastAsia"/>
          <w:sz w:val="24"/>
          <w:szCs w:val="24"/>
          <w:lang w:val="zh-CN"/>
        </w:rPr>
        <w:br w:type="page"/>
      </w:r>
    </w:p>
    <w:p>
      <w:pPr>
        <w:rPr>
          <w:rFonts w:asciiTheme="minorEastAsia" w:hAnsiTheme="minorEastAsia" w:eastAsiaTheme="minorEastAsia"/>
          <w:b/>
          <w:bCs/>
          <w:sz w:val="24"/>
          <w:szCs w:val="24"/>
          <w:lang w:val="zh-CN"/>
        </w:rPr>
      </w:pPr>
      <w:r>
        <w:rPr>
          <w:rFonts w:hint="eastAsia" w:cs="宋体" w:asciiTheme="minorEastAsia" w:hAnsiTheme="minorEastAsia" w:eastAsiaTheme="minorEastAsia"/>
          <w:b/>
          <w:bCs/>
          <w:sz w:val="24"/>
          <w:szCs w:val="24"/>
          <w:lang w:val="zh-CN"/>
        </w:rPr>
        <w:t>附件</w:t>
      </w:r>
      <w:bookmarkStart w:id="113" w:name="_Toc130094925"/>
      <w:bookmarkStart w:id="114" w:name="_Toc98731771"/>
      <w:r>
        <w:rPr>
          <w:rFonts w:hint="eastAsia" w:cs="宋体" w:asciiTheme="minorEastAsia" w:hAnsiTheme="minorEastAsia" w:eastAsiaTheme="minorEastAsia"/>
          <w:b/>
          <w:bCs/>
          <w:sz w:val="24"/>
          <w:szCs w:val="24"/>
          <w:lang w:val="en-US" w:eastAsia="zh-CN"/>
        </w:rPr>
        <w:t>六</w:t>
      </w:r>
      <w:r>
        <w:rPr>
          <w:rFonts w:hint="eastAsia" w:cs="宋体" w:asciiTheme="minorEastAsia" w:hAnsiTheme="minorEastAsia" w:eastAsiaTheme="minorEastAsia"/>
          <w:b/>
          <w:bCs/>
          <w:sz w:val="24"/>
          <w:szCs w:val="24"/>
        </w:rPr>
        <w:t>：</w:t>
      </w:r>
    </w:p>
    <w:p>
      <w:pPr>
        <w:spacing w:line="360" w:lineRule="auto"/>
        <w:jc w:val="center"/>
        <w:rPr>
          <w:rFonts w:asciiTheme="minorEastAsia" w:hAnsiTheme="minorEastAsia" w:eastAsiaTheme="minorEastAsia"/>
          <w:b/>
          <w:bCs/>
          <w:sz w:val="32"/>
          <w:szCs w:val="32"/>
        </w:rPr>
      </w:pPr>
      <w:r>
        <w:rPr>
          <w:rFonts w:hint="eastAsia" w:cs="宋体" w:asciiTheme="minorEastAsia" w:hAnsiTheme="minorEastAsia" w:eastAsiaTheme="minorEastAsia"/>
          <w:b/>
          <w:bCs/>
          <w:sz w:val="32"/>
          <w:szCs w:val="32"/>
        </w:rPr>
        <w:t>报价一览表</w:t>
      </w:r>
      <w:bookmarkEnd w:id="112"/>
      <w:bookmarkEnd w:id="113"/>
      <w:bookmarkEnd w:id="114"/>
    </w:p>
    <w:p>
      <w:pPr>
        <w:pStyle w:val="15"/>
        <w:spacing w:line="360" w:lineRule="auto"/>
        <w:rPr>
          <w:rFonts w:cs="Times New Roman" w:asciiTheme="minorEastAsia" w:hAnsiTheme="minorEastAsia" w:eastAsiaTheme="minorEastAsia"/>
          <w:sz w:val="24"/>
          <w:szCs w:val="24"/>
        </w:rPr>
      </w:pPr>
    </w:p>
    <w:p>
      <w:pPr>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项目名称：</w:t>
      </w:r>
    </w:p>
    <w:p>
      <w:pPr>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采购编号：</w:t>
      </w:r>
    </w:p>
    <w:tbl>
      <w:tblPr>
        <w:tblStyle w:val="26"/>
        <w:tblW w:w="8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6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9" w:hRule="atLeast"/>
          <w:jc w:val="center"/>
        </w:trPr>
        <w:tc>
          <w:tcPr>
            <w:tcW w:w="2089" w:type="dxa"/>
            <w:vAlign w:val="center"/>
          </w:tcPr>
          <w:p>
            <w:pPr>
              <w:pStyle w:val="15"/>
              <w:spacing w:line="360" w:lineRule="auto"/>
              <w:jc w:val="center"/>
              <w:rPr>
                <w:rFonts w:cs="Times New Roman" w:asciiTheme="minorEastAsia" w:hAnsiTheme="minorEastAsia" w:eastAsiaTheme="minorEastAsia"/>
                <w:b/>
                <w:bCs/>
                <w:sz w:val="24"/>
                <w:szCs w:val="24"/>
              </w:rPr>
            </w:pPr>
            <w:r>
              <w:rPr>
                <w:rFonts w:hint="eastAsia" w:asciiTheme="minorEastAsia" w:hAnsiTheme="minorEastAsia" w:eastAsiaTheme="minorEastAsia"/>
                <w:b/>
                <w:bCs/>
                <w:sz w:val="24"/>
                <w:szCs w:val="24"/>
              </w:rPr>
              <w:t>投标总价</w:t>
            </w:r>
          </w:p>
        </w:tc>
        <w:tc>
          <w:tcPr>
            <w:tcW w:w="6707" w:type="dxa"/>
            <w:vAlign w:val="center"/>
          </w:tcPr>
          <w:p>
            <w:pPr>
              <w:pStyle w:val="15"/>
              <w:spacing w:line="360" w:lineRule="auto"/>
              <w:jc w:val="center"/>
              <w:rPr>
                <w:rFonts w:cs="Times New Roman" w:asciiTheme="minorEastAsia" w:hAnsiTheme="minorEastAsia" w:eastAsiaTheme="minorEastAsia"/>
                <w:b/>
                <w:bCs/>
                <w:sz w:val="24"/>
                <w:szCs w:val="24"/>
              </w:rPr>
            </w:pPr>
            <w:r>
              <w:rPr>
                <w:rFonts w:hint="eastAsia" w:asciiTheme="minorEastAsia" w:hAnsiTheme="minorEastAsia" w:eastAsiaTheme="minorEastAsia"/>
                <w:b/>
                <w:bCs/>
                <w:sz w:val="24"/>
                <w:szCs w:val="24"/>
              </w:rPr>
              <w:t>大写：</w:t>
            </w:r>
            <w:r>
              <w:rPr>
                <w:rFonts w:hint="eastAsia" w:asciiTheme="minorEastAsia" w:hAnsiTheme="minorEastAsia" w:eastAsiaTheme="minorEastAsia"/>
                <w:b/>
                <w:bCs/>
                <w:sz w:val="24"/>
                <w:szCs w:val="24"/>
                <w:u w:val="single"/>
              </w:rPr>
              <w:t>　　　　</w:t>
            </w:r>
            <w:r>
              <w:rPr>
                <w:rFonts w:hint="eastAsia" w:asciiTheme="minorEastAsia" w:hAnsiTheme="minorEastAsia" w:eastAsiaTheme="minorEastAsia"/>
                <w:b/>
                <w:bCs/>
                <w:sz w:val="24"/>
                <w:szCs w:val="24"/>
              </w:rPr>
              <w:t>元（小写：</w:t>
            </w:r>
            <w:r>
              <w:rPr>
                <w:rFonts w:hint="eastAsia" w:asciiTheme="minorEastAsia" w:hAnsiTheme="minorEastAsia" w:eastAsiaTheme="minorEastAsia"/>
                <w:b/>
                <w:bCs/>
                <w:sz w:val="24"/>
                <w:szCs w:val="24"/>
                <w:u w:val="single"/>
              </w:rPr>
              <w:t>　　　　</w:t>
            </w:r>
            <w:r>
              <w:rPr>
                <w:rFonts w:hint="eastAsia" w:asciiTheme="minorEastAsia" w:hAnsiTheme="minorEastAsia" w:eastAsiaTheme="minorEastAsia"/>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8" w:hRule="atLeast"/>
          <w:jc w:val="center"/>
        </w:trPr>
        <w:tc>
          <w:tcPr>
            <w:tcW w:w="8796" w:type="dxa"/>
            <w:gridSpan w:val="2"/>
            <w:vAlign w:val="center"/>
          </w:tcPr>
          <w:p>
            <w:pPr>
              <w:pStyle w:val="15"/>
              <w:spacing w:line="360" w:lineRule="auto"/>
              <w:ind w:firstLine="480" w:firstLineChars="200"/>
              <w:rPr>
                <w:rFonts w:cs="Times New Roman" w:asciiTheme="minorEastAsia" w:hAnsiTheme="minorEastAsia" w:eastAsiaTheme="minorEastAsia"/>
                <w:b/>
                <w:bCs/>
                <w:sz w:val="24"/>
                <w:szCs w:val="24"/>
              </w:rPr>
            </w:pPr>
            <w:r>
              <w:rPr>
                <w:rFonts w:hint="eastAsia" w:hAnsi="宋体"/>
                <w:bCs/>
                <w:sz w:val="24"/>
              </w:rPr>
              <w:t>投标报价统一为人民币计价，是指完成本项目的全部费用，包括但不仅限于项目所需设备的设计、制造、供货、发货、配件费、材料费、安装费、调试费、指导安装、保险、人工费、管理费、税费、运费、规费、现场勘查费和交付使用、设备在本文规定的质保期内的维修保养，以及为达到与原有设备平台无缝对接使设备能安全、满意的运行设施等，并应保证设备在各方面均能达到正常运行要求的费用，以及招标代理费和其它一切不可预见和实际所需的一切其他费用，如有漏报，视同已包含在其报价中。</w:t>
            </w:r>
          </w:p>
        </w:tc>
      </w:tr>
    </w:tbl>
    <w:p>
      <w:pPr>
        <w:pStyle w:val="15"/>
        <w:spacing w:line="360" w:lineRule="auto"/>
        <w:rPr>
          <w:rFonts w:cs="Times New Roman" w:asciiTheme="minorEastAsia" w:hAnsiTheme="minorEastAsia" w:eastAsiaTheme="minorEastAsia"/>
          <w:sz w:val="24"/>
          <w:szCs w:val="24"/>
        </w:rPr>
      </w:pPr>
    </w:p>
    <w:p>
      <w:pPr>
        <w:pStyle w:val="15"/>
        <w:spacing w:line="360" w:lineRule="auto"/>
        <w:rPr>
          <w:rFonts w:cs="Times New Roman" w:asciiTheme="minorEastAsia" w:hAnsiTheme="minorEastAsia" w:eastAsiaTheme="minorEastAsia"/>
          <w:sz w:val="24"/>
          <w:szCs w:val="24"/>
        </w:rPr>
      </w:pPr>
    </w:p>
    <w:p>
      <w:pPr>
        <w:pStyle w:val="15"/>
        <w:spacing w:line="360" w:lineRule="auto"/>
        <w:rPr>
          <w:rFonts w:cs="Times New Roman" w:asciiTheme="minorEastAsia" w:hAnsiTheme="minorEastAsia" w:eastAsiaTheme="minorEastAsia"/>
          <w:sz w:val="24"/>
          <w:szCs w:val="24"/>
        </w:rPr>
      </w:pPr>
    </w:p>
    <w:p>
      <w:pPr>
        <w:spacing w:line="360" w:lineRule="auto"/>
        <w:ind w:left="3600" w:leftChars="1800"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法定代表人签名（或签名章）：</w:t>
      </w:r>
    </w:p>
    <w:p>
      <w:pPr>
        <w:spacing w:line="360" w:lineRule="auto"/>
        <w:ind w:left="3600" w:leftChars="1800"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日期：</w:t>
      </w:r>
    </w:p>
    <w:p>
      <w:pPr>
        <w:spacing w:line="360" w:lineRule="auto"/>
        <w:ind w:left="3600" w:leftChars="1800"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供应商全称（公章）：</w:t>
      </w:r>
    </w:p>
    <w:p>
      <w:pPr>
        <w:snapToGrid w:val="0"/>
        <w:spacing w:line="360" w:lineRule="auto"/>
        <w:ind w:firstLine="435"/>
        <w:rPr>
          <w:rFonts w:asciiTheme="minorEastAsia" w:hAnsiTheme="minorEastAsia" w:eastAsiaTheme="minorEastAsia"/>
        </w:rPr>
      </w:pPr>
    </w:p>
    <w:p>
      <w:pPr>
        <w:snapToGrid w:val="0"/>
        <w:spacing w:line="360" w:lineRule="auto"/>
        <w:ind w:firstLine="435"/>
        <w:rPr>
          <w:rFonts w:asciiTheme="minorEastAsia" w:hAnsiTheme="minorEastAsia" w:eastAsiaTheme="minorEastAsia"/>
        </w:rPr>
      </w:pPr>
    </w:p>
    <w:p>
      <w:pPr>
        <w:snapToGrid w:val="0"/>
        <w:spacing w:line="360" w:lineRule="auto"/>
        <w:ind w:firstLine="435"/>
        <w:rPr>
          <w:rFonts w:asciiTheme="minorEastAsia" w:hAnsiTheme="minorEastAsia" w:eastAsiaTheme="minorEastAsia"/>
        </w:rPr>
      </w:pPr>
    </w:p>
    <w:p>
      <w:pPr>
        <w:snapToGrid w:val="0"/>
        <w:spacing w:line="360" w:lineRule="auto"/>
        <w:ind w:firstLine="435"/>
        <w:rPr>
          <w:rFonts w:asciiTheme="minorEastAsia" w:hAnsiTheme="minorEastAsia" w:eastAsiaTheme="minorEastAsia"/>
        </w:rPr>
      </w:pPr>
    </w:p>
    <w:p>
      <w:pPr>
        <w:snapToGrid w:val="0"/>
        <w:spacing w:line="360" w:lineRule="auto"/>
        <w:ind w:firstLine="435"/>
        <w:rPr>
          <w:rFonts w:asciiTheme="minorEastAsia" w:hAnsiTheme="minorEastAsia" w:eastAsiaTheme="minorEastAsia"/>
        </w:rPr>
      </w:pPr>
    </w:p>
    <w:p>
      <w:pPr>
        <w:spacing w:line="360" w:lineRule="auto"/>
        <w:jc w:val="left"/>
        <w:rPr>
          <w:rFonts w:asciiTheme="minorEastAsia" w:hAnsiTheme="minorEastAsia" w:eastAsiaTheme="minorEastAsia"/>
          <w:b/>
          <w:bCs/>
          <w:sz w:val="24"/>
          <w:szCs w:val="24"/>
          <w:lang w:val="zh-CN"/>
        </w:rPr>
      </w:pPr>
      <w:r>
        <w:rPr>
          <w:rFonts w:asciiTheme="minorEastAsia" w:hAnsiTheme="minorEastAsia" w:eastAsiaTheme="minorEastAsia"/>
        </w:rPr>
        <w:br w:type="page"/>
      </w:r>
      <w:bookmarkStart w:id="115" w:name="_Toc7196"/>
      <w:r>
        <w:rPr>
          <w:rFonts w:hint="eastAsia" w:cs="宋体" w:asciiTheme="minorEastAsia" w:hAnsiTheme="minorEastAsia" w:eastAsiaTheme="minorEastAsia"/>
          <w:b/>
          <w:bCs/>
          <w:sz w:val="24"/>
          <w:szCs w:val="24"/>
          <w:lang w:val="zh-CN"/>
        </w:rPr>
        <w:t>附件</w:t>
      </w:r>
      <w:r>
        <w:rPr>
          <w:rFonts w:hint="eastAsia" w:cs="宋体" w:asciiTheme="minorEastAsia" w:hAnsiTheme="minorEastAsia" w:eastAsiaTheme="minorEastAsia"/>
          <w:b/>
          <w:bCs/>
          <w:sz w:val="24"/>
          <w:szCs w:val="24"/>
          <w:lang w:val="en-US" w:eastAsia="zh-CN"/>
        </w:rPr>
        <w:t>七</w:t>
      </w:r>
      <w:r>
        <w:rPr>
          <w:rFonts w:hint="eastAsia" w:cs="宋体" w:asciiTheme="minorEastAsia" w:hAnsiTheme="minorEastAsia" w:eastAsiaTheme="minorEastAsia"/>
          <w:b/>
          <w:bCs/>
          <w:sz w:val="24"/>
          <w:szCs w:val="24"/>
          <w:lang w:val="zh-CN"/>
        </w:rPr>
        <w:t>：</w:t>
      </w:r>
    </w:p>
    <w:p>
      <w:pPr>
        <w:spacing w:line="360" w:lineRule="auto"/>
        <w:jc w:val="center"/>
        <w:rPr>
          <w:rFonts w:asciiTheme="minorEastAsia" w:hAnsiTheme="minorEastAsia" w:eastAsiaTheme="minorEastAsia"/>
          <w:b/>
          <w:bCs/>
          <w:sz w:val="32"/>
          <w:szCs w:val="32"/>
        </w:rPr>
      </w:pPr>
      <w:r>
        <w:rPr>
          <w:rFonts w:hint="eastAsia" w:cs="宋体" w:asciiTheme="minorEastAsia" w:hAnsiTheme="minorEastAsia" w:eastAsiaTheme="minorEastAsia"/>
          <w:b/>
          <w:bCs/>
          <w:sz w:val="32"/>
          <w:szCs w:val="32"/>
        </w:rPr>
        <w:t>报价明细表</w:t>
      </w:r>
    </w:p>
    <w:p>
      <w:pPr>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项目名称：</w:t>
      </w:r>
    </w:p>
    <w:p>
      <w:pPr>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采购编号：</w:t>
      </w:r>
    </w:p>
    <w:tbl>
      <w:tblPr>
        <w:tblStyle w:val="26"/>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691"/>
        <w:gridCol w:w="2412"/>
        <w:gridCol w:w="900"/>
        <w:gridCol w:w="900"/>
        <w:gridCol w:w="9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63" w:type="dxa"/>
            <w:vAlign w:val="center"/>
          </w:tcPr>
          <w:p>
            <w:pPr>
              <w:spacing w:line="360" w:lineRule="auto"/>
              <w:jc w:val="center"/>
              <w:rPr>
                <w:rFonts w:ascii="宋体" w:hAnsi="宋体" w:cs="宋体"/>
                <w:sz w:val="24"/>
              </w:rPr>
            </w:pPr>
            <w:r>
              <w:rPr>
                <w:rFonts w:hint="eastAsia" w:ascii="宋体" w:hAnsi="宋体" w:cs="宋体"/>
                <w:sz w:val="24"/>
              </w:rPr>
              <w:t>序号</w:t>
            </w:r>
          </w:p>
        </w:tc>
        <w:tc>
          <w:tcPr>
            <w:tcW w:w="1691" w:type="dxa"/>
            <w:vAlign w:val="center"/>
          </w:tcPr>
          <w:p>
            <w:pPr>
              <w:spacing w:line="360" w:lineRule="auto"/>
              <w:jc w:val="center"/>
              <w:rPr>
                <w:rFonts w:ascii="宋体" w:hAnsi="宋体" w:cs="宋体"/>
                <w:sz w:val="24"/>
              </w:rPr>
            </w:pPr>
            <w:r>
              <w:rPr>
                <w:rFonts w:hint="eastAsia" w:ascii="宋体" w:hAnsi="宋体" w:cs="宋体"/>
                <w:sz w:val="24"/>
              </w:rPr>
              <w:t>货物名称</w:t>
            </w:r>
          </w:p>
        </w:tc>
        <w:tc>
          <w:tcPr>
            <w:tcW w:w="2412" w:type="dxa"/>
            <w:vAlign w:val="center"/>
          </w:tcPr>
          <w:p>
            <w:pPr>
              <w:spacing w:line="360" w:lineRule="auto"/>
              <w:jc w:val="center"/>
              <w:rPr>
                <w:rFonts w:ascii="宋体" w:hAnsi="宋体" w:cs="宋体"/>
                <w:sz w:val="24"/>
              </w:rPr>
            </w:pPr>
            <w:r>
              <w:rPr>
                <w:rFonts w:hint="eastAsia" w:ascii="宋体" w:hAnsi="宋体" w:cs="宋体"/>
                <w:sz w:val="24"/>
              </w:rPr>
              <w:t>规格、型号、品牌</w:t>
            </w:r>
          </w:p>
        </w:tc>
        <w:tc>
          <w:tcPr>
            <w:tcW w:w="900" w:type="dxa"/>
            <w:vAlign w:val="center"/>
          </w:tcPr>
          <w:p>
            <w:pPr>
              <w:spacing w:line="360" w:lineRule="auto"/>
              <w:jc w:val="center"/>
              <w:rPr>
                <w:rFonts w:ascii="宋体" w:hAnsi="宋体" w:cs="宋体"/>
                <w:sz w:val="24"/>
              </w:rPr>
            </w:pPr>
            <w:r>
              <w:rPr>
                <w:rFonts w:hint="eastAsia" w:ascii="宋体" w:hAnsi="宋体" w:cs="宋体"/>
                <w:sz w:val="24"/>
              </w:rPr>
              <w:t>单位</w:t>
            </w:r>
          </w:p>
        </w:tc>
        <w:tc>
          <w:tcPr>
            <w:tcW w:w="900" w:type="dxa"/>
            <w:vAlign w:val="center"/>
          </w:tcPr>
          <w:p>
            <w:pPr>
              <w:spacing w:line="360" w:lineRule="auto"/>
              <w:jc w:val="center"/>
              <w:rPr>
                <w:rFonts w:ascii="宋体" w:hAnsi="宋体" w:cs="宋体"/>
                <w:sz w:val="24"/>
              </w:rPr>
            </w:pPr>
            <w:r>
              <w:rPr>
                <w:rFonts w:hint="eastAsia" w:ascii="宋体" w:hAnsi="宋体" w:cs="宋体"/>
                <w:sz w:val="24"/>
              </w:rPr>
              <w:t>单价</w:t>
            </w:r>
          </w:p>
        </w:tc>
        <w:tc>
          <w:tcPr>
            <w:tcW w:w="900" w:type="dxa"/>
            <w:vAlign w:val="center"/>
          </w:tcPr>
          <w:p>
            <w:pPr>
              <w:spacing w:line="360" w:lineRule="auto"/>
              <w:jc w:val="center"/>
              <w:rPr>
                <w:rFonts w:ascii="宋体" w:hAnsi="宋体" w:cs="宋体"/>
                <w:sz w:val="24"/>
              </w:rPr>
            </w:pPr>
            <w:r>
              <w:rPr>
                <w:rFonts w:hint="eastAsia" w:ascii="宋体" w:hAnsi="宋体" w:cs="宋体"/>
                <w:sz w:val="24"/>
              </w:rPr>
              <w:t>数量</w:t>
            </w:r>
          </w:p>
        </w:tc>
        <w:tc>
          <w:tcPr>
            <w:tcW w:w="1620" w:type="dxa"/>
            <w:vAlign w:val="center"/>
          </w:tcPr>
          <w:p>
            <w:pPr>
              <w:spacing w:line="360" w:lineRule="auto"/>
              <w:jc w:val="center"/>
              <w:rPr>
                <w:rFonts w:ascii="宋体" w:hAnsi="宋体" w:cs="宋体"/>
                <w:sz w:val="24"/>
              </w:rPr>
            </w:pPr>
            <w:r>
              <w:rPr>
                <w:rFonts w:hint="eastAsia" w:ascii="宋体" w:hAnsi="宋体" w:cs="宋体"/>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63" w:type="dxa"/>
            <w:tcBorders>
              <w:bottom w:val="single" w:color="auto" w:sz="4" w:space="0"/>
            </w:tcBorders>
            <w:vAlign w:val="center"/>
          </w:tcPr>
          <w:p>
            <w:pPr>
              <w:spacing w:line="360" w:lineRule="auto"/>
              <w:jc w:val="left"/>
              <w:rPr>
                <w:rFonts w:ascii="宋体" w:hAnsi="宋体" w:cs="宋体"/>
                <w:sz w:val="24"/>
              </w:rPr>
            </w:pPr>
          </w:p>
        </w:tc>
        <w:tc>
          <w:tcPr>
            <w:tcW w:w="1691" w:type="dxa"/>
            <w:tcBorders>
              <w:bottom w:val="single" w:color="auto" w:sz="4" w:space="0"/>
            </w:tcBorders>
            <w:vAlign w:val="center"/>
          </w:tcPr>
          <w:p>
            <w:pPr>
              <w:spacing w:line="360" w:lineRule="auto"/>
              <w:jc w:val="left"/>
              <w:rPr>
                <w:rFonts w:ascii="宋体" w:hAnsi="宋体" w:cs="宋体"/>
                <w:sz w:val="24"/>
              </w:rPr>
            </w:pPr>
          </w:p>
        </w:tc>
        <w:tc>
          <w:tcPr>
            <w:tcW w:w="2412" w:type="dxa"/>
            <w:tcBorders>
              <w:bottom w:val="single" w:color="auto" w:sz="4" w:space="0"/>
            </w:tcBorders>
            <w:vAlign w:val="center"/>
          </w:tcPr>
          <w:p>
            <w:pPr>
              <w:spacing w:line="360" w:lineRule="auto"/>
              <w:jc w:val="left"/>
              <w:rPr>
                <w:rFonts w:ascii="宋体" w:hAnsi="宋体" w:cs="宋体"/>
                <w:sz w:val="24"/>
              </w:rPr>
            </w:pPr>
          </w:p>
        </w:tc>
        <w:tc>
          <w:tcPr>
            <w:tcW w:w="900" w:type="dxa"/>
            <w:tcBorders>
              <w:bottom w:val="single" w:color="auto" w:sz="4" w:space="0"/>
            </w:tcBorders>
            <w:vAlign w:val="center"/>
          </w:tcPr>
          <w:p>
            <w:pPr>
              <w:spacing w:line="360" w:lineRule="auto"/>
              <w:jc w:val="left"/>
              <w:rPr>
                <w:rFonts w:ascii="宋体" w:hAnsi="宋体" w:cs="宋体"/>
                <w:sz w:val="24"/>
              </w:rPr>
            </w:pPr>
          </w:p>
        </w:tc>
        <w:tc>
          <w:tcPr>
            <w:tcW w:w="900" w:type="dxa"/>
            <w:tcBorders>
              <w:bottom w:val="single" w:color="auto" w:sz="4" w:space="0"/>
            </w:tcBorders>
            <w:vAlign w:val="center"/>
          </w:tcPr>
          <w:p>
            <w:pPr>
              <w:spacing w:line="360" w:lineRule="auto"/>
              <w:jc w:val="left"/>
              <w:rPr>
                <w:rFonts w:ascii="宋体" w:hAnsi="宋体" w:cs="宋体"/>
                <w:sz w:val="24"/>
              </w:rPr>
            </w:pPr>
          </w:p>
        </w:tc>
        <w:tc>
          <w:tcPr>
            <w:tcW w:w="900" w:type="dxa"/>
            <w:tcBorders>
              <w:bottom w:val="single" w:color="auto" w:sz="4" w:space="0"/>
            </w:tcBorders>
            <w:vAlign w:val="center"/>
          </w:tcPr>
          <w:p>
            <w:pPr>
              <w:spacing w:line="360" w:lineRule="auto"/>
              <w:jc w:val="left"/>
              <w:rPr>
                <w:rFonts w:ascii="宋体" w:hAnsi="宋体" w:cs="宋体"/>
                <w:sz w:val="24"/>
              </w:rPr>
            </w:pPr>
          </w:p>
        </w:tc>
        <w:tc>
          <w:tcPr>
            <w:tcW w:w="1620" w:type="dxa"/>
            <w:tcBorders>
              <w:bottom w:val="single" w:color="auto" w:sz="4" w:space="0"/>
            </w:tcBorders>
            <w:vAlign w:val="center"/>
          </w:tcPr>
          <w:p>
            <w:pPr>
              <w:spacing w:line="360" w:lineRule="auto"/>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63" w:type="dxa"/>
            <w:tcBorders>
              <w:bottom w:val="single" w:color="auto" w:sz="4" w:space="0"/>
            </w:tcBorders>
            <w:vAlign w:val="center"/>
          </w:tcPr>
          <w:p>
            <w:pPr>
              <w:spacing w:line="360" w:lineRule="auto"/>
              <w:jc w:val="left"/>
              <w:rPr>
                <w:rFonts w:ascii="宋体" w:hAnsi="宋体" w:cs="宋体"/>
                <w:sz w:val="24"/>
              </w:rPr>
            </w:pPr>
          </w:p>
        </w:tc>
        <w:tc>
          <w:tcPr>
            <w:tcW w:w="1691" w:type="dxa"/>
            <w:tcBorders>
              <w:bottom w:val="single" w:color="auto" w:sz="4" w:space="0"/>
            </w:tcBorders>
            <w:vAlign w:val="center"/>
          </w:tcPr>
          <w:p>
            <w:pPr>
              <w:spacing w:line="360" w:lineRule="auto"/>
              <w:jc w:val="left"/>
              <w:rPr>
                <w:rFonts w:ascii="宋体" w:hAnsi="宋体" w:cs="宋体"/>
                <w:sz w:val="24"/>
              </w:rPr>
            </w:pPr>
          </w:p>
        </w:tc>
        <w:tc>
          <w:tcPr>
            <w:tcW w:w="2412" w:type="dxa"/>
            <w:tcBorders>
              <w:bottom w:val="single" w:color="auto" w:sz="4" w:space="0"/>
            </w:tcBorders>
            <w:vAlign w:val="center"/>
          </w:tcPr>
          <w:p>
            <w:pPr>
              <w:spacing w:line="360" w:lineRule="auto"/>
              <w:jc w:val="left"/>
              <w:rPr>
                <w:rFonts w:ascii="宋体" w:hAnsi="宋体" w:cs="宋体"/>
                <w:sz w:val="24"/>
              </w:rPr>
            </w:pPr>
          </w:p>
        </w:tc>
        <w:tc>
          <w:tcPr>
            <w:tcW w:w="900" w:type="dxa"/>
            <w:tcBorders>
              <w:bottom w:val="single" w:color="auto" w:sz="4" w:space="0"/>
            </w:tcBorders>
            <w:vAlign w:val="center"/>
          </w:tcPr>
          <w:p>
            <w:pPr>
              <w:spacing w:line="360" w:lineRule="auto"/>
              <w:jc w:val="left"/>
              <w:rPr>
                <w:rFonts w:ascii="宋体" w:hAnsi="宋体" w:cs="宋体"/>
                <w:sz w:val="24"/>
              </w:rPr>
            </w:pPr>
          </w:p>
        </w:tc>
        <w:tc>
          <w:tcPr>
            <w:tcW w:w="900" w:type="dxa"/>
            <w:tcBorders>
              <w:bottom w:val="single" w:color="auto" w:sz="4" w:space="0"/>
            </w:tcBorders>
            <w:vAlign w:val="center"/>
          </w:tcPr>
          <w:p>
            <w:pPr>
              <w:spacing w:line="360" w:lineRule="auto"/>
              <w:jc w:val="left"/>
              <w:rPr>
                <w:rFonts w:ascii="宋体" w:hAnsi="宋体" w:cs="宋体"/>
                <w:sz w:val="24"/>
              </w:rPr>
            </w:pPr>
          </w:p>
        </w:tc>
        <w:tc>
          <w:tcPr>
            <w:tcW w:w="900" w:type="dxa"/>
            <w:tcBorders>
              <w:bottom w:val="single" w:color="auto" w:sz="4" w:space="0"/>
            </w:tcBorders>
            <w:vAlign w:val="center"/>
          </w:tcPr>
          <w:p>
            <w:pPr>
              <w:spacing w:line="360" w:lineRule="auto"/>
              <w:jc w:val="left"/>
              <w:rPr>
                <w:rFonts w:ascii="宋体" w:hAnsi="宋体" w:cs="宋体"/>
                <w:sz w:val="24"/>
              </w:rPr>
            </w:pPr>
          </w:p>
        </w:tc>
        <w:tc>
          <w:tcPr>
            <w:tcW w:w="1620" w:type="dxa"/>
            <w:tcBorders>
              <w:bottom w:val="single" w:color="auto" w:sz="4" w:space="0"/>
            </w:tcBorders>
            <w:vAlign w:val="center"/>
          </w:tcPr>
          <w:p>
            <w:pPr>
              <w:spacing w:line="360" w:lineRule="auto"/>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63" w:type="dxa"/>
            <w:tcBorders>
              <w:bottom w:val="single" w:color="auto" w:sz="4" w:space="0"/>
            </w:tcBorders>
            <w:vAlign w:val="center"/>
          </w:tcPr>
          <w:p>
            <w:pPr>
              <w:spacing w:line="360" w:lineRule="auto"/>
              <w:jc w:val="left"/>
              <w:rPr>
                <w:rFonts w:ascii="宋体" w:hAnsi="宋体" w:cs="宋体"/>
                <w:sz w:val="24"/>
              </w:rPr>
            </w:pPr>
          </w:p>
        </w:tc>
        <w:tc>
          <w:tcPr>
            <w:tcW w:w="1691" w:type="dxa"/>
            <w:tcBorders>
              <w:bottom w:val="single" w:color="auto" w:sz="4" w:space="0"/>
            </w:tcBorders>
            <w:vAlign w:val="center"/>
          </w:tcPr>
          <w:p>
            <w:pPr>
              <w:spacing w:line="360" w:lineRule="auto"/>
              <w:jc w:val="left"/>
              <w:rPr>
                <w:rFonts w:ascii="宋体" w:hAnsi="宋体" w:cs="宋体"/>
                <w:sz w:val="24"/>
              </w:rPr>
            </w:pPr>
          </w:p>
        </w:tc>
        <w:tc>
          <w:tcPr>
            <w:tcW w:w="2412" w:type="dxa"/>
            <w:tcBorders>
              <w:bottom w:val="single" w:color="auto" w:sz="4" w:space="0"/>
            </w:tcBorders>
            <w:vAlign w:val="center"/>
          </w:tcPr>
          <w:p>
            <w:pPr>
              <w:spacing w:line="360" w:lineRule="auto"/>
              <w:jc w:val="left"/>
              <w:rPr>
                <w:rFonts w:ascii="宋体" w:hAnsi="宋体" w:cs="宋体"/>
                <w:sz w:val="24"/>
              </w:rPr>
            </w:pPr>
          </w:p>
        </w:tc>
        <w:tc>
          <w:tcPr>
            <w:tcW w:w="900" w:type="dxa"/>
            <w:tcBorders>
              <w:bottom w:val="single" w:color="auto" w:sz="4" w:space="0"/>
            </w:tcBorders>
            <w:vAlign w:val="center"/>
          </w:tcPr>
          <w:p>
            <w:pPr>
              <w:spacing w:line="360" w:lineRule="auto"/>
              <w:jc w:val="left"/>
              <w:rPr>
                <w:rFonts w:ascii="宋体" w:hAnsi="宋体" w:cs="宋体"/>
                <w:sz w:val="24"/>
              </w:rPr>
            </w:pPr>
          </w:p>
        </w:tc>
        <w:tc>
          <w:tcPr>
            <w:tcW w:w="900" w:type="dxa"/>
            <w:tcBorders>
              <w:bottom w:val="single" w:color="auto" w:sz="4" w:space="0"/>
            </w:tcBorders>
            <w:vAlign w:val="center"/>
          </w:tcPr>
          <w:p>
            <w:pPr>
              <w:spacing w:line="360" w:lineRule="auto"/>
              <w:jc w:val="left"/>
              <w:rPr>
                <w:rFonts w:ascii="宋体" w:hAnsi="宋体" w:cs="宋体"/>
                <w:sz w:val="24"/>
              </w:rPr>
            </w:pPr>
          </w:p>
        </w:tc>
        <w:tc>
          <w:tcPr>
            <w:tcW w:w="900" w:type="dxa"/>
            <w:tcBorders>
              <w:bottom w:val="single" w:color="auto" w:sz="4" w:space="0"/>
            </w:tcBorders>
            <w:vAlign w:val="center"/>
          </w:tcPr>
          <w:p>
            <w:pPr>
              <w:spacing w:line="360" w:lineRule="auto"/>
              <w:jc w:val="left"/>
              <w:rPr>
                <w:rFonts w:ascii="宋体" w:hAnsi="宋体" w:cs="宋体"/>
                <w:sz w:val="24"/>
              </w:rPr>
            </w:pPr>
          </w:p>
        </w:tc>
        <w:tc>
          <w:tcPr>
            <w:tcW w:w="1620" w:type="dxa"/>
            <w:tcBorders>
              <w:bottom w:val="single" w:color="auto" w:sz="4" w:space="0"/>
            </w:tcBorders>
            <w:vAlign w:val="center"/>
          </w:tcPr>
          <w:p>
            <w:pPr>
              <w:spacing w:line="360" w:lineRule="auto"/>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63" w:type="dxa"/>
            <w:tcBorders>
              <w:bottom w:val="single" w:color="auto" w:sz="4" w:space="0"/>
            </w:tcBorders>
            <w:vAlign w:val="center"/>
          </w:tcPr>
          <w:p>
            <w:pPr>
              <w:spacing w:line="360" w:lineRule="auto"/>
              <w:jc w:val="left"/>
              <w:rPr>
                <w:rFonts w:ascii="宋体" w:hAnsi="宋体" w:cs="宋体"/>
                <w:sz w:val="24"/>
              </w:rPr>
            </w:pPr>
          </w:p>
        </w:tc>
        <w:tc>
          <w:tcPr>
            <w:tcW w:w="1691" w:type="dxa"/>
            <w:tcBorders>
              <w:bottom w:val="single" w:color="auto" w:sz="4" w:space="0"/>
            </w:tcBorders>
            <w:vAlign w:val="center"/>
          </w:tcPr>
          <w:p>
            <w:pPr>
              <w:spacing w:line="360" w:lineRule="auto"/>
              <w:jc w:val="left"/>
              <w:rPr>
                <w:rFonts w:ascii="宋体" w:hAnsi="宋体" w:cs="宋体"/>
                <w:sz w:val="24"/>
              </w:rPr>
            </w:pPr>
          </w:p>
        </w:tc>
        <w:tc>
          <w:tcPr>
            <w:tcW w:w="2412" w:type="dxa"/>
            <w:tcBorders>
              <w:bottom w:val="single" w:color="auto" w:sz="4" w:space="0"/>
            </w:tcBorders>
            <w:vAlign w:val="center"/>
          </w:tcPr>
          <w:p>
            <w:pPr>
              <w:spacing w:line="360" w:lineRule="auto"/>
              <w:jc w:val="left"/>
              <w:rPr>
                <w:rFonts w:ascii="宋体" w:hAnsi="宋体" w:cs="宋体"/>
                <w:sz w:val="24"/>
              </w:rPr>
            </w:pPr>
          </w:p>
        </w:tc>
        <w:tc>
          <w:tcPr>
            <w:tcW w:w="900" w:type="dxa"/>
            <w:tcBorders>
              <w:bottom w:val="single" w:color="auto" w:sz="4" w:space="0"/>
            </w:tcBorders>
            <w:vAlign w:val="center"/>
          </w:tcPr>
          <w:p>
            <w:pPr>
              <w:spacing w:line="360" w:lineRule="auto"/>
              <w:jc w:val="left"/>
              <w:rPr>
                <w:rFonts w:ascii="宋体" w:hAnsi="宋体" w:cs="宋体"/>
                <w:sz w:val="24"/>
              </w:rPr>
            </w:pPr>
          </w:p>
        </w:tc>
        <w:tc>
          <w:tcPr>
            <w:tcW w:w="900" w:type="dxa"/>
            <w:tcBorders>
              <w:bottom w:val="single" w:color="auto" w:sz="4" w:space="0"/>
            </w:tcBorders>
            <w:vAlign w:val="center"/>
          </w:tcPr>
          <w:p>
            <w:pPr>
              <w:spacing w:line="360" w:lineRule="auto"/>
              <w:jc w:val="left"/>
              <w:rPr>
                <w:rFonts w:ascii="宋体" w:hAnsi="宋体" w:cs="宋体"/>
                <w:sz w:val="24"/>
              </w:rPr>
            </w:pPr>
          </w:p>
        </w:tc>
        <w:tc>
          <w:tcPr>
            <w:tcW w:w="900" w:type="dxa"/>
            <w:tcBorders>
              <w:bottom w:val="single" w:color="auto" w:sz="4" w:space="0"/>
            </w:tcBorders>
            <w:vAlign w:val="center"/>
          </w:tcPr>
          <w:p>
            <w:pPr>
              <w:spacing w:line="360" w:lineRule="auto"/>
              <w:jc w:val="left"/>
              <w:rPr>
                <w:rFonts w:ascii="宋体" w:hAnsi="宋体" w:cs="宋体"/>
                <w:sz w:val="24"/>
              </w:rPr>
            </w:pPr>
          </w:p>
        </w:tc>
        <w:tc>
          <w:tcPr>
            <w:tcW w:w="1620" w:type="dxa"/>
            <w:tcBorders>
              <w:bottom w:val="single" w:color="auto" w:sz="4" w:space="0"/>
            </w:tcBorders>
            <w:vAlign w:val="center"/>
          </w:tcPr>
          <w:p>
            <w:pPr>
              <w:spacing w:line="360" w:lineRule="auto"/>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63" w:type="dxa"/>
            <w:tcBorders>
              <w:bottom w:val="single" w:color="auto" w:sz="4" w:space="0"/>
            </w:tcBorders>
            <w:vAlign w:val="center"/>
          </w:tcPr>
          <w:p>
            <w:pPr>
              <w:spacing w:line="360" w:lineRule="auto"/>
              <w:jc w:val="left"/>
              <w:rPr>
                <w:rFonts w:ascii="宋体" w:hAnsi="宋体" w:cs="宋体"/>
                <w:sz w:val="24"/>
              </w:rPr>
            </w:pPr>
          </w:p>
        </w:tc>
        <w:tc>
          <w:tcPr>
            <w:tcW w:w="1691" w:type="dxa"/>
            <w:tcBorders>
              <w:bottom w:val="single" w:color="auto" w:sz="4" w:space="0"/>
            </w:tcBorders>
            <w:vAlign w:val="center"/>
          </w:tcPr>
          <w:p>
            <w:pPr>
              <w:spacing w:line="360" w:lineRule="auto"/>
              <w:jc w:val="left"/>
              <w:rPr>
                <w:rFonts w:ascii="宋体" w:hAnsi="宋体" w:cs="宋体"/>
                <w:sz w:val="24"/>
              </w:rPr>
            </w:pPr>
          </w:p>
        </w:tc>
        <w:tc>
          <w:tcPr>
            <w:tcW w:w="2412" w:type="dxa"/>
            <w:tcBorders>
              <w:bottom w:val="single" w:color="auto" w:sz="4" w:space="0"/>
            </w:tcBorders>
            <w:vAlign w:val="center"/>
          </w:tcPr>
          <w:p>
            <w:pPr>
              <w:spacing w:line="360" w:lineRule="auto"/>
              <w:jc w:val="left"/>
              <w:rPr>
                <w:rFonts w:ascii="宋体" w:hAnsi="宋体" w:cs="宋体"/>
                <w:sz w:val="24"/>
              </w:rPr>
            </w:pPr>
          </w:p>
        </w:tc>
        <w:tc>
          <w:tcPr>
            <w:tcW w:w="900" w:type="dxa"/>
            <w:tcBorders>
              <w:bottom w:val="single" w:color="auto" w:sz="4" w:space="0"/>
            </w:tcBorders>
            <w:vAlign w:val="center"/>
          </w:tcPr>
          <w:p>
            <w:pPr>
              <w:spacing w:line="360" w:lineRule="auto"/>
              <w:jc w:val="left"/>
              <w:rPr>
                <w:rFonts w:ascii="宋体" w:hAnsi="宋体" w:cs="宋体"/>
                <w:sz w:val="24"/>
              </w:rPr>
            </w:pPr>
          </w:p>
        </w:tc>
        <w:tc>
          <w:tcPr>
            <w:tcW w:w="900" w:type="dxa"/>
            <w:tcBorders>
              <w:bottom w:val="single" w:color="auto" w:sz="4" w:space="0"/>
            </w:tcBorders>
            <w:vAlign w:val="center"/>
          </w:tcPr>
          <w:p>
            <w:pPr>
              <w:spacing w:line="360" w:lineRule="auto"/>
              <w:jc w:val="left"/>
              <w:rPr>
                <w:rFonts w:ascii="宋体" w:hAnsi="宋体" w:cs="宋体"/>
                <w:sz w:val="24"/>
              </w:rPr>
            </w:pPr>
          </w:p>
        </w:tc>
        <w:tc>
          <w:tcPr>
            <w:tcW w:w="900" w:type="dxa"/>
            <w:tcBorders>
              <w:bottom w:val="single" w:color="auto" w:sz="4" w:space="0"/>
            </w:tcBorders>
            <w:vAlign w:val="center"/>
          </w:tcPr>
          <w:p>
            <w:pPr>
              <w:spacing w:line="360" w:lineRule="auto"/>
              <w:jc w:val="left"/>
              <w:rPr>
                <w:rFonts w:ascii="宋体" w:hAnsi="宋体" w:cs="宋体"/>
                <w:sz w:val="24"/>
              </w:rPr>
            </w:pPr>
          </w:p>
        </w:tc>
        <w:tc>
          <w:tcPr>
            <w:tcW w:w="1620" w:type="dxa"/>
            <w:tcBorders>
              <w:bottom w:val="single" w:color="auto" w:sz="4" w:space="0"/>
            </w:tcBorders>
            <w:vAlign w:val="center"/>
          </w:tcPr>
          <w:p>
            <w:pPr>
              <w:spacing w:line="360" w:lineRule="auto"/>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554" w:type="dxa"/>
            <w:gridSpan w:val="2"/>
            <w:vAlign w:val="center"/>
          </w:tcPr>
          <w:p>
            <w:pPr>
              <w:spacing w:line="360" w:lineRule="auto"/>
              <w:jc w:val="center"/>
              <w:rPr>
                <w:rFonts w:ascii="宋体" w:hAnsi="宋体" w:cs="宋体"/>
                <w:sz w:val="24"/>
              </w:rPr>
            </w:pPr>
            <w:r>
              <w:rPr>
                <w:rFonts w:hint="eastAsia" w:ascii="宋体" w:hAnsi="宋体" w:cs="宋体"/>
                <w:sz w:val="24"/>
              </w:rPr>
              <w:t>合计金额</w:t>
            </w:r>
          </w:p>
        </w:tc>
        <w:tc>
          <w:tcPr>
            <w:tcW w:w="6732" w:type="dxa"/>
            <w:gridSpan w:val="5"/>
            <w:vAlign w:val="center"/>
          </w:tcPr>
          <w:p>
            <w:pPr>
              <w:spacing w:line="360" w:lineRule="auto"/>
              <w:ind w:firstLine="1200" w:firstLineChars="500"/>
              <w:jc w:val="left"/>
              <w:rPr>
                <w:rFonts w:ascii="宋体" w:hAnsi="宋体" w:cs="宋体"/>
                <w:sz w:val="24"/>
              </w:rPr>
            </w:pPr>
            <w:r>
              <w:rPr>
                <w:rFonts w:hint="eastAsia" w:ascii="宋体" w:hAnsi="宋体" w:cs="宋体"/>
                <w:sz w:val="24"/>
                <w:u w:val="single"/>
              </w:rPr>
              <w:t>　　     　　</w:t>
            </w:r>
            <w:r>
              <w:rPr>
                <w:rFonts w:hint="eastAsia" w:ascii="宋体" w:hAnsi="宋体" w:cs="宋体"/>
                <w:sz w:val="24"/>
              </w:rPr>
              <w:t>元（大写：</w:t>
            </w:r>
            <w:r>
              <w:rPr>
                <w:rFonts w:hint="eastAsia" w:ascii="宋体" w:hAnsi="宋体" w:cs="宋体"/>
                <w:sz w:val="24"/>
                <w:u w:val="single"/>
              </w:rPr>
              <w:t>　　　　　　　</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6" w:hRule="atLeast"/>
          <w:jc w:val="center"/>
        </w:trPr>
        <w:tc>
          <w:tcPr>
            <w:tcW w:w="9286" w:type="dxa"/>
            <w:gridSpan w:val="7"/>
            <w:vAlign w:val="center"/>
          </w:tcPr>
          <w:p>
            <w:pPr>
              <w:spacing w:line="360" w:lineRule="auto"/>
              <w:ind w:firstLine="480" w:firstLineChars="200"/>
              <w:rPr>
                <w:rFonts w:ascii="宋体" w:hAnsi="宋体" w:cs="宋体"/>
                <w:sz w:val="24"/>
              </w:rPr>
            </w:pPr>
            <w:r>
              <w:rPr>
                <w:rFonts w:hint="eastAsia" w:hAnsi="宋体" w:cs="宋体"/>
                <w:bCs/>
                <w:sz w:val="24"/>
              </w:rPr>
              <w:t>投标报价统一为人民币计价，是指完成本项目的全部费用，</w:t>
            </w:r>
            <w:r>
              <w:rPr>
                <w:rFonts w:hint="eastAsia" w:ascii="宋体" w:hAnsi="宋体" w:cs="宋体"/>
                <w:bCs/>
                <w:sz w:val="24"/>
              </w:rPr>
              <w:t>包括但不仅限于项目所需设备的设计、制造、供货、发货、配件费、材料费、安装费、调试费、指导安装、保险、人工费、管理费、税费、运费、规费、现场勘查费和交付使用、设备在本文规定的质保期内的维修保养，以及为达到与原有设备平台无缝对接使设备能安全、满意的运行设施等，并应保证设备在各方面均能达到正常运行要求的费用，以及招标代理费和其它一切不可预见和实际所需的一切其他费用，如有漏报，视同已包含在其报价中。</w:t>
            </w:r>
          </w:p>
        </w:tc>
      </w:tr>
    </w:tbl>
    <w:p>
      <w:pPr>
        <w:pStyle w:val="15"/>
        <w:spacing w:line="360" w:lineRule="auto"/>
        <w:ind w:firstLine="480" w:firstLineChars="200"/>
        <w:rPr>
          <w:rFonts w:cs="Times New Roman" w:asciiTheme="minorEastAsia" w:hAnsiTheme="minorEastAsia" w:eastAsiaTheme="minorEastAsia"/>
          <w:sz w:val="24"/>
          <w:szCs w:val="24"/>
        </w:rPr>
      </w:pPr>
      <w:r>
        <w:rPr>
          <w:rFonts w:hint="eastAsia" w:asciiTheme="minorEastAsia" w:hAnsiTheme="minorEastAsia" w:eastAsiaTheme="minorEastAsia"/>
          <w:sz w:val="24"/>
          <w:szCs w:val="24"/>
        </w:rPr>
        <w:t>注：内容可根据供应商实际情况自行调整。</w:t>
      </w:r>
    </w:p>
    <w:p>
      <w:pPr>
        <w:spacing w:line="360" w:lineRule="auto"/>
        <w:ind w:left="3600" w:leftChars="1800" w:firstLine="480" w:firstLineChars="200"/>
        <w:rPr>
          <w:rFonts w:cs="宋体" w:asciiTheme="minorEastAsia" w:hAnsiTheme="minorEastAsia" w:eastAsiaTheme="minorEastAsia"/>
          <w:sz w:val="24"/>
          <w:szCs w:val="24"/>
        </w:rPr>
      </w:pPr>
    </w:p>
    <w:p>
      <w:pPr>
        <w:spacing w:line="360" w:lineRule="auto"/>
        <w:ind w:left="3600" w:leftChars="1800" w:firstLine="480" w:firstLineChars="200"/>
        <w:rPr>
          <w:rFonts w:cs="宋体" w:asciiTheme="minorEastAsia" w:hAnsiTheme="minorEastAsia" w:eastAsiaTheme="minorEastAsia"/>
          <w:sz w:val="24"/>
          <w:szCs w:val="24"/>
        </w:rPr>
      </w:pPr>
    </w:p>
    <w:p>
      <w:pPr>
        <w:spacing w:line="360" w:lineRule="auto"/>
        <w:ind w:left="3600" w:leftChars="1800"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法定代表人签名（或签名章）：</w:t>
      </w:r>
    </w:p>
    <w:p>
      <w:pPr>
        <w:spacing w:line="360" w:lineRule="auto"/>
        <w:ind w:left="3600" w:leftChars="1800"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日期：</w:t>
      </w:r>
    </w:p>
    <w:p>
      <w:pPr>
        <w:spacing w:line="360" w:lineRule="auto"/>
        <w:ind w:left="3600" w:leftChars="1800"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供应商全称（公章）：</w:t>
      </w:r>
    </w:p>
    <w:bookmarkEnd w:id="115"/>
    <w:p>
      <w:pPr>
        <w:rPr>
          <w:rFonts w:cs="宋体" w:asciiTheme="minorEastAsia" w:hAnsiTheme="minorEastAsia" w:eastAsia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1898502"/>
    </w:sdtPr>
    <w:sdtContent>
      <w:p>
        <w:pPr>
          <w:pStyle w:val="18"/>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1898501"/>
    </w:sdtPr>
    <w:sdtContent>
      <w:p>
        <w:pPr>
          <w:pStyle w:val="18"/>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1898503"/>
    </w:sdtPr>
    <w:sdtContent>
      <w:p>
        <w:pPr>
          <w:pStyle w:val="18"/>
          <w:jc w:val="center"/>
        </w:pPr>
        <w:r>
          <w:fldChar w:fldCharType="begin"/>
        </w:r>
        <w:r>
          <w:instrText xml:space="preserve"> PAGE   \* MERGEFORMAT </w:instrText>
        </w:r>
        <w:r>
          <w:fldChar w:fldCharType="separate"/>
        </w:r>
        <w:r>
          <w:rPr>
            <w:lang w:val="zh-CN"/>
          </w:rPr>
          <w:t>23</w:t>
        </w:r>
        <w:r>
          <w:rPr>
            <w:lang w:val="zh-CN"/>
          </w:rPr>
          <w:fldChar w:fldCharType="end"/>
        </w:r>
      </w:p>
    </w:sdtContent>
  </w:sdt>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ind w:left="1080" w:hanging="1080" w:hangingChars="600"/>
      <w:jc w:val="both"/>
      <w:rPr>
        <w:color w:val="FF0000"/>
      </w:rPr>
    </w:pPr>
    <w:r>
      <w:rPr>
        <w:rFonts w:hint="eastAsia"/>
        <w:color w:val="FF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0C84E7"/>
    <w:multiLevelType w:val="singleLevel"/>
    <w:tmpl w:val="960C84E7"/>
    <w:lvl w:ilvl="0" w:tentative="0">
      <w:start w:val="1"/>
      <w:numFmt w:val="decimal"/>
      <w:suff w:val="nothing"/>
      <w:lvlText w:val="14.%1 "/>
      <w:lvlJc w:val="left"/>
      <w:pPr>
        <w:tabs>
          <w:tab w:val="left" w:pos="0"/>
        </w:tabs>
        <w:ind w:firstLine="40"/>
      </w:pPr>
      <w:rPr>
        <w:rFonts w:hint="default" w:ascii="宋体" w:hAnsi="宋体" w:eastAsia="宋体"/>
      </w:rPr>
    </w:lvl>
  </w:abstractNum>
  <w:abstractNum w:abstractNumId="1">
    <w:nsid w:val="9E7D436F"/>
    <w:multiLevelType w:val="singleLevel"/>
    <w:tmpl w:val="9E7D436F"/>
    <w:lvl w:ilvl="0" w:tentative="0">
      <w:start w:val="1"/>
      <w:numFmt w:val="chineseCounting"/>
      <w:suff w:val="nothing"/>
      <w:lvlText w:val="%1、"/>
      <w:lvlJc w:val="left"/>
      <w:rPr>
        <w:rFonts w:hint="eastAsia"/>
      </w:rPr>
    </w:lvl>
  </w:abstractNum>
  <w:abstractNum w:abstractNumId="2">
    <w:nsid w:val="BC48C2F1"/>
    <w:multiLevelType w:val="singleLevel"/>
    <w:tmpl w:val="BC48C2F1"/>
    <w:lvl w:ilvl="0" w:tentative="0">
      <w:start w:val="1"/>
      <w:numFmt w:val="decimalEnclosedCircleChinese"/>
      <w:suff w:val="nothing"/>
      <w:lvlText w:val="%1　"/>
      <w:lvlJc w:val="left"/>
      <w:pPr>
        <w:ind w:firstLine="1134"/>
      </w:pPr>
      <w:rPr>
        <w:rFonts w:hint="eastAsia"/>
      </w:rPr>
    </w:lvl>
  </w:abstractNum>
  <w:abstractNum w:abstractNumId="3">
    <w:nsid w:val="D5C663A9"/>
    <w:multiLevelType w:val="singleLevel"/>
    <w:tmpl w:val="D5C663A9"/>
    <w:lvl w:ilvl="0" w:tentative="0">
      <w:start w:val="1"/>
      <w:numFmt w:val="decimalEnclosedCircleChinese"/>
      <w:suff w:val="nothing"/>
      <w:lvlText w:val="%1　"/>
      <w:lvlJc w:val="left"/>
      <w:pPr>
        <w:ind w:firstLine="1134"/>
      </w:pPr>
      <w:rPr>
        <w:rFonts w:hint="eastAsia"/>
      </w:rPr>
    </w:lvl>
  </w:abstractNum>
  <w:abstractNum w:abstractNumId="4">
    <w:nsid w:val="E416DF0E"/>
    <w:multiLevelType w:val="singleLevel"/>
    <w:tmpl w:val="E416DF0E"/>
    <w:lvl w:ilvl="0" w:tentative="0">
      <w:start w:val="4"/>
      <w:numFmt w:val="chineseCounting"/>
      <w:suff w:val="nothing"/>
      <w:lvlText w:val="%1、"/>
      <w:lvlJc w:val="left"/>
      <w:rPr>
        <w:rFonts w:hint="eastAsia"/>
      </w:rPr>
    </w:lvl>
  </w:abstractNum>
  <w:abstractNum w:abstractNumId="5">
    <w:nsid w:val="FD090635"/>
    <w:multiLevelType w:val="singleLevel"/>
    <w:tmpl w:val="FD090635"/>
    <w:lvl w:ilvl="0" w:tentative="0">
      <w:start w:val="2"/>
      <w:numFmt w:val="chineseCounting"/>
      <w:suff w:val="space"/>
      <w:lvlText w:val="第%1章"/>
      <w:lvlJc w:val="left"/>
      <w:rPr>
        <w:rFonts w:hint="eastAsia"/>
        <w:sz w:val="30"/>
        <w:szCs w:val="30"/>
      </w:rPr>
    </w:lvl>
  </w:abstractNum>
  <w:abstractNum w:abstractNumId="6">
    <w:nsid w:val="FF8E5FC9"/>
    <w:multiLevelType w:val="singleLevel"/>
    <w:tmpl w:val="FF8E5FC9"/>
    <w:lvl w:ilvl="0" w:tentative="0">
      <w:start w:val="1"/>
      <w:numFmt w:val="decimal"/>
      <w:suff w:val="nothing"/>
      <w:lvlText w:val="%1．"/>
      <w:lvlJc w:val="left"/>
      <w:pPr>
        <w:ind w:firstLine="397"/>
      </w:pPr>
      <w:rPr>
        <w:rFonts w:hint="default"/>
      </w:rPr>
    </w:lvl>
  </w:abstractNum>
  <w:abstractNum w:abstractNumId="7">
    <w:nsid w:val="0B9D2C1E"/>
    <w:multiLevelType w:val="singleLevel"/>
    <w:tmpl w:val="0B9D2C1E"/>
    <w:lvl w:ilvl="0" w:tentative="0">
      <w:start w:val="1"/>
      <w:numFmt w:val="decimalEnclosedCircleChinese"/>
      <w:suff w:val="nothing"/>
      <w:lvlText w:val="%1　"/>
      <w:lvlJc w:val="left"/>
      <w:pPr>
        <w:ind w:firstLine="1134"/>
      </w:pPr>
      <w:rPr>
        <w:rFonts w:hint="eastAsia"/>
      </w:rPr>
    </w:lvl>
  </w:abstractNum>
  <w:abstractNum w:abstractNumId="8">
    <w:nsid w:val="12F353C5"/>
    <w:multiLevelType w:val="singleLevel"/>
    <w:tmpl w:val="12F353C5"/>
    <w:lvl w:ilvl="0" w:tentative="0">
      <w:start w:val="1"/>
      <w:numFmt w:val="chineseCounting"/>
      <w:suff w:val="nothing"/>
      <w:lvlText w:val="%1、"/>
      <w:lvlJc w:val="left"/>
      <w:rPr>
        <w:rFonts w:hint="eastAsia"/>
      </w:rPr>
    </w:lvl>
  </w:abstractNum>
  <w:abstractNum w:abstractNumId="9">
    <w:nsid w:val="139B6DF6"/>
    <w:multiLevelType w:val="singleLevel"/>
    <w:tmpl w:val="139B6DF6"/>
    <w:lvl w:ilvl="0" w:tentative="0">
      <w:start w:val="1"/>
      <w:numFmt w:val="decimal"/>
      <w:suff w:val="nothing"/>
      <w:lvlText w:val="9.%1 "/>
      <w:lvlJc w:val="left"/>
      <w:pPr>
        <w:tabs>
          <w:tab w:val="left" w:pos="1378"/>
        </w:tabs>
        <w:ind w:firstLine="40"/>
      </w:pPr>
      <w:rPr>
        <w:rFonts w:hint="default" w:ascii="宋体" w:hAnsi="宋体" w:eastAsia="宋体"/>
      </w:rPr>
    </w:lvl>
  </w:abstractNum>
  <w:abstractNum w:abstractNumId="10">
    <w:nsid w:val="1DBCF645"/>
    <w:multiLevelType w:val="singleLevel"/>
    <w:tmpl w:val="1DBCF645"/>
    <w:lvl w:ilvl="0" w:tentative="0">
      <w:start w:val="1"/>
      <w:numFmt w:val="decimalEnclosedCircleChinese"/>
      <w:suff w:val="nothing"/>
      <w:lvlText w:val="%1　"/>
      <w:lvlJc w:val="left"/>
      <w:pPr>
        <w:ind w:firstLine="397"/>
      </w:pPr>
      <w:rPr>
        <w:rFonts w:hint="eastAsia"/>
      </w:rPr>
    </w:lvl>
  </w:abstractNum>
  <w:abstractNum w:abstractNumId="11">
    <w:nsid w:val="1EC1A361"/>
    <w:multiLevelType w:val="singleLevel"/>
    <w:tmpl w:val="1EC1A361"/>
    <w:lvl w:ilvl="0" w:tentative="0">
      <w:start w:val="1"/>
      <w:numFmt w:val="decimalEnclosedCircleChinese"/>
      <w:suff w:val="nothing"/>
      <w:lvlText w:val="%1　"/>
      <w:lvlJc w:val="left"/>
      <w:pPr>
        <w:ind w:firstLine="397"/>
      </w:pPr>
      <w:rPr>
        <w:rFonts w:hint="eastAsia"/>
      </w:rPr>
    </w:lvl>
  </w:abstractNum>
  <w:abstractNum w:abstractNumId="12">
    <w:nsid w:val="25F33ADD"/>
    <w:multiLevelType w:val="singleLevel"/>
    <w:tmpl w:val="25F33ADD"/>
    <w:lvl w:ilvl="0" w:tentative="0">
      <w:start w:val="1"/>
      <w:numFmt w:val="decimalEnclosedCircleChinese"/>
      <w:suff w:val="nothing"/>
      <w:lvlText w:val="%1　"/>
      <w:lvlJc w:val="left"/>
      <w:pPr>
        <w:ind w:firstLine="1134"/>
      </w:pPr>
      <w:rPr>
        <w:rFonts w:hint="eastAsia"/>
      </w:rPr>
    </w:lvl>
  </w:abstractNum>
  <w:abstractNum w:abstractNumId="13">
    <w:nsid w:val="31213A5A"/>
    <w:multiLevelType w:val="singleLevel"/>
    <w:tmpl w:val="31213A5A"/>
    <w:lvl w:ilvl="0" w:tentative="0">
      <w:start w:val="4"/>
      <w:numFmt w:val="chineseCounting"/>
      <w:suff w:val="nothing"/>
      <w:lvlText w:val="%1、"/>
      <w:lvlJc w:val="left"/>
      <w:rPr>
        <w:rFonts w:hint="eastAsia"/>
      </w:rPr>
    </w:lvl>
  </w:abstractNum>
  <w:abstractNum w:abstractNumId="14">
    <w:nsid w:val="43F94463"/>
    <w:multiLevelType w:val="singleLevel"/>
    <w:tmpl w:val="43F94463"/>
    <w:lvl w:ilvl="0" w:tentative="0">
      <w:start w:val="1"/>
      <w:numFmt w:val="decimalEnclosedCircleChinese"/>
      <w:suff w:val="nothing"/>
      <w:lvlText w:val="%1　"/>
      <w:lvlJc w:val="left"/>
      <w:pPr>
        <w:ind w:firstLine="1134"/>
      </w:pPr>
      <w:rPr>
        <w:rFonts w:hint="eastAsia"/>
      </w:rPr>
    </w:lvl>
  </w:abstractNum>
  <w:abstractNum w:abstractNumId="15">
    <w:nsid w:val="466C6E1F"/>
    <w:multiLevelType w:val="multilevel"/>
    <w:tmpl w:val="466C6E1F"/>
    <w:lvl w:ilvl="0" w:tentative="0">
      <w:start w:val="1"/>
      <w:numFmt w:val="upperLetter"/>
      <w:pStyle w:val="6"/>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16">
    <w:nsid w:val="474E1A63"/>
    <w:multiLevelType w:val="singleLevel"/>
    <w:tmpl w:val="474E1A63"/>
    <w:lvl w:ilvl="0" w:tentative="0">
      <w:start w:val="1"/>
      <w:numFmt w:val="decimalEnclosedCircleChinese"/>
      <w:suff w:val="nothing"/>
      <w:lvlText w:val="%1　"/>
      <w:lvlJc w:val="left"/>
      <w:pPr>
        <w:ind w:firstLine="1134"/>
      </w:pPr>
      <w:rPr>
        <w:rFonts w:hint="eastAsia"/>
      </w:rPr>
    </w:lvl>
  </w:abstractNum>
  <w:abstractNum w:abstractNumId="17">
    <w:nsid w:val="4D4A2151"/>
    <w:multiLevelType w:val="singleLevel"/>
    <w:tmpl w:val="4D4A2151"/>
    <w:lvl w:ilvl="0" w:tentative="0">
      <w:start w:val="1"/>
      <w:numFmt w:val="decimal"/>
      <w:suff w:val="nothing"/>
      <w:lvlText w:val="%1．"/>
      <w:lvlJc w:val="left"/>
      <w:pPr>
        <w:ind w:firstLine="397"/>
      </w:pPr>
      <w:rPr>
        <w:rFonts w:hint="default"/>
      </w:rPr>
    </w:lvl>
  </w:abstractNum>
  <w:abstractNum w:abstractNumId="18">
    <w:nsid w:val="7B2826C6"/>
    <w:multiLevelType w:val="singleLevel"/>
    <w:tmpl w:val="7B2826C6"/>
    <w:lvl w:ilvl="0" w:tentative="0">
      <w:start w:val="1"/>
      <w:numFmt w:val="decimal"/>
      <w:suff w:val="nothing"/>
      <w:lvlText w:val="%1．"/>
      <w:lvlJc w:val="left"/>
      <w:pPr>
        <w:ind w:firstLine="397"/>
      </w:pPr>
      <w:rPr>
        <w:rFonts w:hint="default"/>
      </w:rPr>
    </w:lvl>
  </w:abstractNum>
  <w:num w:numId="1">
    <w:abstractNumId w:val="15"/>
  </w:num>
  <w:num w:numId="2">
    <w:abstractNumId w:val="6"/>
  </w:num>
  <w:num w:numId="3">
    <w:abstractNumId w:val="17"/>
  </w:num>
  <w:num w:numId="4">
    <w:abstractNumId w:val="10"/>
  </w:num>
  <w:num w:numId="5">
    <w:abstractNumId w:val="18"/>
  </w:num>
  <w:num w:numId="6">
    <w:abstractNumId w:val="11"/>
  </w:num>
  <w:num w:numId="7">
    <w:abstractNumId w:val="8"/>
  </w:num>
  <w:num w:numId="8">
    <w:abstractNumId w:val="9"/>
  </w:num>
  <w:num w:numId="9">
    <w:abstractNumId w:val="16"/>
  </w:num>
  <w:num w:numId="10">
    <w:abstractNumId w:val="14"/>
  </w:num>
  <w:num w:numId="11">
    <w:abstractNumId w:val="3"/>
  </w:num>
  <w:num w:numId="12">
    <w:abstractNumId w:val="0"/>
  </w:num>
  <w:num w:numId="13">
    <w:abstractNumId w:val="12"/>
  </w:num>
  <w:num w:numId="14">
    <w:abstractNumId w:val="4"/>
  </w:num>
  <w:num w:numId="15">
    <w:abstractNumId w:val="5"/>
  </w:num>
  <w:num w:numId="16">
    <w:abstractNumId w:val="1"/>
  </w:num>
  <w:num w:numId="17">
    <w:abstractNumId w:val="13"/>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00"/>
  <w:drawingGridVerticalSpacing w:val="156"/>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xM2Y5MzljZjI5ZWY3MTk1ZDY3ZTAzYTI2OWFlYTUifQ=="/>
  </w:docVars>
  <w:rsids>
    <w:rsidRoot w:val="5AA412FE"/>
    <w:rsid w:val="00001D22"/>
    <w:rsid w:val="00017B63"/>
    <w:rsid w:val="0002407B"/>
    <w:rsid w:val="00031E0E"/>
    <w:rsid w:val="000346EC"/>
    <w:rsid w:val="00037E77"/>
    <w:rsid w:val="000457E8"/>
    <w:rsid w:val="00050642"/>
    <w:rsid w:val="00054261"/>
    <w:rsid w:val="0006706B"/>
    <w:rsid w:val="00067DF5"/>
    <w:rsid w:val="00084DB8"/>
    <w:rsid w:val="00085ECB"/>
    <w:rsid w:val="000A2F0E"/>
    <w:rsid w:val="000A6093"/>
    <w:rsid w:val="000C0FDF"/>
    <w:rsid w:val="000C1626"/>
    <w:rsid w:val="000C4314"/>
    <w:rsid w:val="000E642D"/>
    <w:rsid w:val="000F31C0"/>
    <w:rsid w:val="000F34AF"/>
    <w:rsid w:val="0010390D"/>
    <w:rsid w:val="001039CA"/>
    <w:rsid w:val="00105576"/>
    <w:rsid w:val="00110359"/>
    <w:rsid w:val="00110A33"/>
    <w:rsid w:val="00116BCE"/>
    <w:rsid w:val="00120C78"/>
    <w:rsid w:val="0015146D"/>
    <w:rsid w:val="00163764"/>
    <w:rsid w:val="0018216C"/>
    <w:rsid w:val="00183780"/>
    <w:rsid w:val="001A1822"/>
    <w:rsid w:val="001B4CF1"/>
    <w:rsid w:val="001C6880"/>
    <w:rsid w:val="001D0BF7"/>
    <w:rsid w:val="001D21F3"/>
    <w:rsid w:val="001E6173"/>
    <w:rsid w:val="001F0256"/>
    <w:rsid w:val="001F2F3A"/>
    <w:rsid w:val="001F490F"/>
    <w:rsid w:val="00205BCA"/>
    <w:rsid w:val="002078E3"/>
    <w:rsid w:val="00207B3B"/>
    <w:rsid w:val="0021296F"/>
    <w:rsid w:val="002205AF"/>
    <w:rsid w:val="00221D1D"/>
    <w:rsid w:val="00223E24"/>
    <w:rsid w:val="00224103"/>
    <w:rsid w:val="002247BF"/>
    <w:rsid w:val="00245AF5"/>
    <w:rsid w:val="00252AEE"/>
    <w:rsid w:val="0026106F"/>
    <w:rsid w:val="00263D2B"/>
    <w:rsid w:val="00273B76"/>
    <w:rsid w:val="00273F1A"/>
    <w:rsid w:val="00275466"/>
    <w:rsid w:val="002761A4"/>
    <w:rsid w:val="002839D8"/>
    <w:rsid w:val="002B04D3"/>
    <w:rsid w:val="002C34CA"/>
    <w:rsid w:val="00312278"/>
    <w:rsid w:val="00313B8D"/>
    <w:rsid w:val="003211E5"/>
    <w:rsid w:val="0032125A"/>
    <w:rsid w:val="00323682"/>
    <w:rsid w:val="00325068"/>
    <w:rsid w:val="0034404D"/>
    <w:rsid w:val="003470DA"/>
    <w:rsid w:val="0035424B"/>
    <w:rsid w:val="0035715D"/>
    <w:rsid w:val="00357184"/>
    <w:rsid w:val="00363AFD"/>
    <w:rsid w:val="00373640"/>
    <w:rsid w:val="00374E3E"/>
    <w:rsid w:val="003914B1"/>
    <w:rsid w:val="00392B4C"/>
    <w:rsid w:val="00393C1C"/>
    <w:rsid w:val="003A0D36"/>
    <w:rsid w:val="003A514B"/>
    <w:rsid w:val="003B0654"/>
    <w:rsid w:val="003B4AB3"/>
    <w:rsid w:val="003B6DDD"/>
    <w:rsid w:val="003C7061"/>
    <w:rsid w:val="003D07BA"/>
    <w:rsid w:val="003D5064"/>
    <w:rsid w:val="003F49CC"/>
    <w:rsid w:val="00400657"/>
    <w:rsid w:val="00402FF9"/>
    <w:rsid w:val="00421C81"/>
    <w:rsid w:val="004277E5"/>
    <w:rsid w:val="00442B78"/>
    <w:rsid w:val="00447FEE"/>
    <w:rsid w:val="004536A0"/>
    <w:rsid w:val="00463C96"/>
    <w:rsid w:val="00467AC4"/>
    <w:rsid w:val="004823D2"/>
    <w:rsid w:val="00483462"/>
    <w:rsid w:val="00486981"/>
    <w:rsid w:val="00487216"/>
    <w:rsid w:val="004B23D2"/>
    <w:rsid w:val="004E63AF"/>
    <w:rsid w:val="004E7DB7"/>
    <w:rsid w:val="004F61AD"/>
    <w:rsid w:val="0050158B"/>
    <w:rsid w:val="00502B33"/>
    <w:rsid w:val="0050528B"/>
    <w:rsid w:val="00506127"/>
    <w:rsid w:val="00506AF8"/>
    <w:rsid w:val="005079CF"/>
    <w:rsid w:val="0052789F"/>
    <w:rsid w:val="00536BAE"/>
    <w:rsid w:val="00542925"/>
    <w:rsid w:val="00543D95"/>
    <w:rsid w:val="005529D2"/>
    <w:rsid w:val="00557361"/>
    <w:rsid w:val="005617C4"/>
    <w:rsid w:val="005768DC"/>
    <w:rsid w:val="00590C6C"/>
    <w:rsid w:val="005971F4"/>
    <w:rsid w:val="005A54F0"/>
    <w:rsid w:val="005B3EDB"/>
    <w:rsid w:val="005B7D1F"/>
    <w:rsid w:val="005C3597"/>
    <w:rsid w:val="005C7CD7"/>
    <w:rsid w:val="00610F38"/>
    <w:rsid w:val="00616FF9"/>
    <w:rsid w:val="00631FCF"/>
    <w:rsid w:val="0064397B"/>
    <w:rsid w:val="00646067"/>
    <w:rsid w:val="006904D3"/>
    <w:rsid w:val="00691A05"/>
    <w:rsid w:val="00692F21"/>
    <w:rsid w:val="006973E5"/>
    <w:rsid w:val="006A6850"/>
    <w:rsid w:val="006C7C7C"/>
    <w:rsid w:val="006D7757"/>
    <w:rsid w:val="006E4D94"/>
    <w:rsid w:val="00710F26"/>
    <w:rsid w:val="00721DB0"/>
    <w:rsid w:val="007271B4"/>
    <w:rsid w:val="0074399E"/>
    <w:rsid w:val="007536BB"/>
    <w:rsid w:val="007617EB"/>
    <w:rsid w:val="00774172"/>
    <w:rsid w:val="00780526"/>
    <w:rsid w:val="00785F08"/>
    <w:rsid w:val="0079084C"/>
    <w:rsid w:val="00796AA3"/>
    <w:rsid w:val="007A4C8A"/>
    <w:rsid w:val="007C1988"/>
    <w:rsid w:val="007C36F2"/>
    <w:rsid w:val="007C5917"/>
    <w:rsid w:val="007D1674"/>
    <w:rsid w:val="007F61D2"/>
    <w:rsid w:val="00804A32"/>
    <w:rsid w:val="00815016"/>
    <w:rsid w:val="00816086"/>
    <w:rsid w:val="00820B40"/>
    <w:rsid w:val="00830F9A"/>
    <w:rsid w:val="00831737"/>
    <w:rsid w:val="00841FBD"/>
    <w:rsid w:val="00860F2A"/>
    <w:rsid w:val="008651FF"/>
    <w:rsid w:val="00870215"/>
    <w:rsid w:val="00873263"/>
    <w:rsid w:val="00875467"/>
    <w:rsid w:val="00880A2D"/>
    <w:rsid w:val="00883369"/>
    <w:rsid w:val="00893230"/>
    <w:rsid w:val="008B44D1"/>
    <w:rsid w:val="008C2439"/>
    <w:rsid w:val="008C3E0D"/>
    <w:rsid w:val="008D667B"/>
    <w:rsid w:val="008E0A0C"/>
    <w:rsid w:val="008E2070"/>
    <w:rsid w:val="008E35FD"/>
    <w:rsid w:val="008E755B"/>
    <w:rsid w:val="008F27BD"/>
    <w:rsid w:val="00912636"/>
    <w:rsid w:val="009128D2"/>
    <w:rsid w:val="00913BA9"/>
    <w:rsid w:val="00913DF5"/>
    <w:rsid w:val="009205BE"/>
    <w:rsid w:val="00920D39"/>
    <w:rsid w:val="009241BF"/>
    <w:rsid w:val="009261EE"/>
    <w:rsid w:val="00927DB4"/>
    <w:rsid w:val="00940AB4"/>
    <w:rsid w:val="009459C8"/>
    <w:rsid w:val="0095157D"/>
    <w:rsid w:val="00961B43"/>
    <w:rsid w:val="0097128A"/>
    <w:rsid w:val="00971F84"/>
    <w:rsid w:val="00980B21"/>
    <w:rsid w:val="00980C1A"/>
    <w:rsid w:val="00995DC7"/>
    <w:rsid w:val="009975D9"/>
    <w:rsid w:val="009A0152"/>
    <w:rsid w:val="009B0354"/>
    <w:rsid w:val="009D0708"/>
    <w:rsid w:val="009D1851"/>
    <w:rsid w:val="009D1DE1"/>
    <w:rsid w:val="009D73E9"/>
    <w:rsid w:val="009F6343"/>
    <w:rsid w:val="00A0160A"/>
    <w:rsid w:val="00A01782"/>
    <w:rsid w:val="00A03E00"/>
    <w:rsid w:val="00A06FE3"/>
    <w:rsid w:val="00A118F1"/>
    <w:rsid w:val="00A234DB"/>
    <w:rsid w:val="00A2724A"/>
    <w:rsid w:val="00A27BF9"/>
    <w:rsid w:val="00A41B49"/>
    <w:rsid w:val="00A50EC2"/>
    <w:rsid w:val="00A52CBC"/>
    <w:rsid w:val="00A564DB"/>
    <w:rsid w:val="00A6394A"/>
    <w:rsid w:val="00A74A0A"/>
    <w:rsid w:val="00A82BC7"/>
    <w:rsid w:val="00A82FD6"/>
    <w:rsid w:val="00A84639"/>
    <w:rsid w:val="00A92CDF"/>
    <w:rsid w:val="00A95750"/>
    <w:rsid w:val="00AA112C"/>
    <w:rsid w:val="00AA4234"/>
    <w:rsid w:val="00AA61CF"/>
    <w:rsid w:val="00AB3663"/>
    <w:rsid w:val="00AD549D"/>
    <w:rsid w:val="00AE721D"/>
    <w:rsid w:val="00AF40FC"/>
    <w:rsid w:val="00AF7730"/>
    <w:rsid w:val="00B06D5A"/>
    <w:rsid w:val="00B074CC"/>
    <w:rsid w:val="00B122C2"/>
    <w:rsid w:val="00B1386B"/>
    <w:rsid w:val="00B20B66"/>
    <w:rsid w:val="00B25893"/>
    <w:rsid w:val="00B313AD"/>
    <w:rsid w:val="00B34795"/>
    <w:rsid w:val="00B47103"/>
    <w:rsid w:val="00B5379E"/>
    <w:rsid w:val="00B5485A"/>
    <w:rsid w:val="00B633BD"/>
    <w:rsid w:val="00B63F10"/>
    <w:rsid w:val="00B67512"/>
    <w:rsid w:val="00B7612E"/>
    <w:rsid w:val="00B94244"/>
    <w:rsid w:val="00B96A5B"/>
    <w:rsid w:val="00BA2B11"/>
    <w:rsid w:val="00BA4648"/>
    <w:rsid w:val="00BA48B6"/>
    <w:rsid w:val="00BB3AD9"/>
    <w:rsid w:val="00BD0B2B"/>
    <w:rsid w:val="00BD4629"/>
    <w:rsid w:val="00BD7334"/>
    <w:rsid w:val="00BF557D"/>
    <w:rsid w:val="00C03291"/>
    <w:rsid w:val="00C07237"/>
    <w:rsid w:val="00C07473"/>
    <w:rsid w:val="00C25F67"/>
    <w:rsid w:val="00C50363"/>
    <w:rsid w:val="00C56888"/>
    <w:rsid w:val="00C57F45"/>
    <w:rsid w:val="00C62CD4"/>
    <w:rsid w:val="00C63423"/>
    <w:rsid w:val="00C70180"/>
    <w:rsid w:val="00C90A67"/>
    <w:rsid w:val="00C93598"/>
    <w:rsid w:val="00C96E23"/>
    <w:rsid w:val="00C97493"/>
    <w:rsid w:val="00CA0E59"/>
    <w:rsid w:val="00CA29A3"/>
    <w:rsid w:val="00CA379F"/>
    <w:rsid w:val="00CB6CA7"/>
    <w:rsid w:val="00CD21E4"/>
    <w:rsid w:val="00CE2677"/>
    <w:rsid w:val="00CF3DF1"/>
    <w:rsid w:val="00D03574"/>
    <w:rsid w:val="00D131CF"/>
    <w:rsid w:val="00D208F6"/>
    <w:rsid w:val="00D32258"/>
    <w:rsid w:val="00D40761"/>
    <w:rsid w:val="00D4632B"/>
    <w:rsid w:val="00D510CF"/>
    <w:rsid w:val="00D6422E"/>
    <w:rsid w:val="00D822DF"/>
    <w:rsid w:val="00DA37D8"/>
    <w:rsid w:val="00DB0BCB"/>
    <w:rsid w:val="00DD0487"/>
    <w:rsid w:val="00DD3ABB"/>
    <w:rsid w:val="00DD533A"/>
    <w:rsid w:val="00DE7CF8"/>
    <w:rsid w:val="00DF40D8"/>
    <w:rsid w:val="00E027CF"/>
    <w:rsid w:val="00E109DA"/>
    <w:rsid w:val="00E257C8"/>
    <w:rsid w:val="00E42FD9"/>
    <w:rsid w:val="00E4358D"/>
    <w:rsid w:val="00E53562"/>
    <w:rsid w:val="00E53F3A"/>
    <w:rsid w:val="00E55984"/>
    <w:rsid w:val="00E937EB"/>
    <w:rsid w:val="00EA0033"/>
    <w:rsid w:val="00EA0DD7"/>
    <w:rsid w:val="00EA28CD"/>
    <w:rsid w:val="00EB2DCC"/>
    <w:rsid w:val="00EB3528"/>
    <w:rsid w:val="00EB65FF"/>
    <w:rsid w:val="00EC1EE6"/>
    <w:rsid w:val="00ED0982"/>
    <w:rsid w:val="00ED39CC"/>
    <w:rsid w:val="00EE77F6"/>
    <w:rsid w:val="00EF45AA"/>
    <w:rsid w:val="00F043A7"/>
    <w:rsid w:val="00F12831"/>
    <w:rsid w:val="00F44CF9"/>
    <w:rsid w:val="00F4616F"/>
    <w:rsid w:val="00F50C5D"/>
    <w:rsid w:val="00F519CA"/>
    <w:rsid w:val="00F673E5"/>
    <w:rsid w:val="00F83631"/>
    <w:rsid w:val="00F90819"/>
    <w:rsid w:val="00F91F4A"/>
    <w:rsid w:val="00F92C57"/>
    <w:rsid w:val="00FA6DC6"/>
    <w:rsid w:val="00FB1A08"/>
    <w:rsid w:val="00FC0E55"/>
    <w:rsid w:val="00FD1550"/>
    <w:rsid w:val="00FE141B"/>
    <w:rsid w:val="0149271B"/>
    <w:rsid w:val="02710CE9"/>
    <w:rsid w:val="02F474A0"/>
    <w:rsid w:val="02FB0AA9"/>
    <w:rsid w:val="02FB1EF4"/>
    <w:rsid w:val="08F57ACE"/>
    <w:rsid w:val="09581F88"/>
    <w:rsid w:val="0A34069F"/>
    <w:rsid w:val="0CFB42D9"/>
    <w:rsid w:val="0E5332D6"/>
    <w:rsid w:val="0F9E5390"/>
    <w:rsid w:val="104145F9"/>
    <w:rsid w:val="119A7465"/>
    <w:rsid w:val="11CF6577"/>
    <w:rsid w:val="127B54E8"/>
    <w:rsid w:val="13495BED"/>
    <w:rsid w:val="13591417"/>
    <w:rsid w:val="13975F78"/>
    <w:rsid w:val="151439D2"/>
    <w:rsid w:val="155D552F"/>
    <w:rsid w:val="157D7686"/>
    <w:rsid w:val="15830AE2"/>
    <w:rsid w:val="15A07E8D"/>
    <w:rsid w:val="1648774C"/>
    <w:rsid w:val="16EB43B2"/>
    <w:rsid w:val="19061AA7"/>
    <w:rsid w:val="1A472154"/>
    <w:rsid w:val="1B155261"/>
    <w:rsid w:val="1B7166B9"/>
    <w:rsid w:val="1B970EB9"/>
    <w:rsid w:val="1BB5293D"/>
    <w:rsid w:val="1BBC7011"/>
    <w:rsid w:val="1BDB27A5"/>
    <w:rsid w:val="1CFF0A9F"/>
    <w:rsid w:val="1E1D4217"/>
    <w:rsid w:val="1E7432CA"/>
    <w:rsid w:val="1EDA1EFB"/>
    <w:rsid w:val="1F2B0346"/>
    <w:rsid w:val="1F431821"/>
    <w:rsid w:val="1F7B8A70"/>
    <w:rsid w:val="1F890C4B"/>
    <w:rsid w:val="205B73C3"/>
    <w:rsid w:val="207A249B"/>
    <w:rsid w:val="20D34487"/>
    <w:rsid w:val="21537272"/>
    <w:rsid w:val="215A3622"/>
    <w:rsid w:val="217C1A22"/>
    <w:rsid w:val="21FF3D3B"/>
    <w:rsid w:val="22514430"/>
    <w:rsid w:val="232B05BB"/>
    <w:rsid w:val="247D9D10"/>
    <w:rsid w:val="25010437"/>
    <w:rsid w:val="26451EEA"/>
    <w:rsid w:val="26704F2E"/>
    <w:rsid w:val="28730E57"/>
    <w:rsid w:val="28A644E9"/>
    <w:rsid w:val="28C62F56"/>
    <w:rsid w:val="28DA203A"/>
    <w:rsid w:val="28F0407A"/>
    <w:rsid w:val="291A7D32"/>
    <w:rsid w:val="29381365"/>
    <w:rsid w:val="29655706"/>
    <w:rsid w:val="2B731422"/>
    <w:rsid w:val="2C1E1BE9"/>
    <w:rsid w:val="2D346E5C"/>
    <w:rsid w:val="2D701990"/>
    <w:rsid w:val="2E0C4DEE"/>
    <w:rsid w:val="2E21325F"/>
    <w:rsid w:val="2E664953"/>
    <w:rsid w:val="30C95219"/>
    <w:rsid w:val="30FB7A19"/>
    <w:rsid w:val="310261A7"/>
    <w:rsid w:val="32A75185"/>
    <w:rsid w:val="33220830"/>
    <w:rsid w:val="33340B4D"/>
    <w:rsid w:val="33E4686F"/>
    <w:rsid w:val="349413EA"/>
    <w:rsid w:val="358E5668"/>
    <w:rsid w:val="364544FD"/>
    <w:rsid w:val="36CE34E8"/>
    <w:rsid w:val="37020770"/>
    <w:rsid w:val="375A2733"/>
    <w:rsid w:val="386F17B2"/>
    <w:rsid w:val="3AA40175"/>
    <w:rsid w:val="3C506BAF"/>
    <w:rsid w:val="3CEA09F1"/>
    <w:rsid w:val="3D5D52D9"/>
    <w:rsid w:val="3D74475E"/>
    <w:rsid w:val="3DCE50EF"/>
    <w:rsid w:val="3E1918E3"/>
    <w:rsid w:val="3E3759DF"/>
    <w:rsid w:val="40853072"/>
    <w:rsid w:val="40E80A95"/>
    <w:rsid w:val="41C50CBF"/>
    <w:rsid w:val="41D45DF7"/>
    <w:rsid w:val="42234900"/>
    <w:rsid w:val="42914373"/>
    <w:rsid w:val="4297507F"/>
    <w:rsid w:val="429E4757"/>
    <w:rsid w:val="42A44E8B"/>
    <w:rsid w:val="436C497E"/>
    <w:rsid w:val="43B67EE8"/>
    <w:rsid w:val="43BD6E5F"/>
    <w:rsid w:val="45C66EE5"/>
    <w:rsid w:val="46562959"/>
    <w:rsid w:val="467F690A"/>
    <w:rsid w:val="46B85F59"/>
    <w:rsid w:val="481E5144"/>
    <w:rsid w:val="48621071"/>
    <w:rsid w:val="492D7C31"/>
    <w:rsid w:val="4939021E"/>
    <w:rsid w:val="499B7CDB"/>
    <w:rsid w:val="49C134CC"/>
    <w:rsid w:val="4AD245F0"/>
    <w:rsid w:val="4B5C045F"/>
    <w:rsid w:val="4BE44EED"/>
    <w:rsid w:val="4CDD24A8"/>
    <w:rsid w:val="4D782815"/>
    <w:rsid w:val="4E236FF8"/>
    <w:rsid w:val="4E751A17"/>
    <w:rsid w:val="4EC72E3E"/>
    <w:rsid w:val="508F05EA"/>
    <w:rsid w:val="51095497"/>
    <w:rsid w:val="524C54AF"/>
    <w:rsid w:val="53155EBE"/>
    <w:rsid w:val="5382777D"/>
    <w:rsid w:val="54A90D98"/>
    <w:rsid w:val="54F65EBA"/>
    <w:rsid w:val="56071401"/>
    <w:rsid w:val="56B46CE7"/>
    <w:rsid w:val="56F203B4"/>
    <w:rsid w:val="575B3338"/>
    <w:rsid w:val="577C10EC"/>
    <w:rsid w:val="57F7CD2B"/>
    <w:rsid w:val="57FC55AA"/>
    <w:rsid w:val="580928E7"/>
    <w:rsid w:val="5825085E"/>
    <w:rsid w:val="58551F7D"/>
    <w:rsid w:val="59045A92"/>
    <w:rsid w:val="59C56616"/>
    <w:rsid w:val="5AA30659"/>
    <w:rsid w:val="5AA412FE"/>
    <w:rsid w:val="5AC72F10"/>
    <w:rsid w:val="5B6657AD"/>
    <w:rsid w:val="5CA558C9"/>
    <w:rsid w:val="5D217374"/>
    <w:rsid w:val="5DE81AA6"/>
    <w:rsid w:val="5E2B51A2"/>
    <w:rsid w:val="5E435D5B"/>
    <w:rsid w:val="5E6006BB"/>
    <w:rsid w:val="5F4FF37D"/>
    <w:rsid w:val="5F5B667A"/>
    <w:rsid w:val="5FD125EC"/>
    <w:rsid w:val="5FDB6882"/>
    <w:rsid w:val="61396DD0"/>
    <w:rsid w:val="616E32D2"/>
    <w:rsid w:val="638717D9"/>
    <w:rsid w:val="63F4E22E"/>
    <w:rsid w:val="64A14715"/>
    <w:rsid w:val="64EB15C7"/>
    <w:rsid w:val="659B3074"/>
    <w:rsid w:val="66064FD9"/>
    <w:rsid w:val="665E3A26"/>
    <w:rsid w:val="671B6AB8"/>
    <w:rsid w:val="67821C5D"/>
    <w:rsid w:val="67996221"/>
    <w:rsid w:val="67EE6D37"/>
    <w:rsid w:val="681E7F53"/>
    <w:rsid w:val="69A14E77"/>
    <w:rsid w:val="6AAB53B4"/>
    <w:rsid w:val="6B5070BC"/>
    <w:rsid w:val="6C77379F"/>
    <w:rsid w:val="6C8A7C1A"/>
    <w:rsid w:val="6D88336F"/>
    <w:rsid w:val="6DAD5655"/>
    <w:rsid w:val="6E957640"/>
    <w:rsid w:val="6F5AA19A"/>
    <w:rsid w:val="6F5E2C15"/>
    <w:rsid w:val="6F780C5E"/>
    <w:rsid w:val="706109EE"/>
    <w:rsid w:val="71686E4C"/>
    <w:rsid w:val="71DC5E53"/>
    <w:rsid w:val="725C4F43"/>
    <w:rsid w:val="72943041"/>
    <w:rsid w:val="72955284"/>
    <w:rsid w:val="72BA026E"/>
    <w:rsid w:val="72EA0AEA"/>
    <w:rsid w:val="732D4BB8"/>
    <w:rsid w:val="73AC6B4F"/>
    <w:rsid w:val="73EB3D22"/>
    <w:rsid w:val="73FB0E14"/>
    <w:rsid w:val="75126D7A"/>
    <w:rsid w:val="75BA5477"/>
    <w:rsid w:val="75D05CCE"/>
    <w:rsid w:val="774E25FB"/>
    <w:rsid w:val="77537603"/>
    <w:rsid w:val="7765B837"/>
    <w:rsid w:val="77E63ABE"/>
    <w:rsid w:val="78937CF7"/>
    <w:rsid w:val="78E746E7"/>
    <w:rsid w:val="79CB6ED9"/>
    <w:rsid w:val="79ED6971"/>
    <w:rsid w:val="7A082333"/>
    <w:rsid w:val="7A173ECC"/>
    <w:rsid w:val="7AA33536"/>
    <w:rsid w:val="7AB4047B"/>
    <w:rsid w:val="7BFE1E83"/>
    <w:rsid w:val="7D4B76E9"/>
    <w:rsid w:val="7DBF21A5"/>
    <w:rsid w:val="7DDF2A9E"/>
    <w:rsid w:val="7DE93C59"/>
    <w:rsid w:val="7EFB51B8"/>
    <w:rsid w:val="7F1B1A63"/>
    <w:rsid w:val="7F3F6140"/>
    <w:rsid w:val="7FCFDAED"/>
    <w:rsid w:val="7FF88472"/>
    <w:rsid w:val="7FFAE60B"/>
    <w:rsid w:val="AFE41E42"/>
    <w:rsid w:val="BFFE3B5A"/>
    <w:rsid w:val="BFFF5014"/>
    <w:rsid w:val="D68F6F3A"/>
    <w:rsid w:val="DEEBBBAB"/>
    <w:rsid w:val="E6DD50A6"/>
    <w:rsid w:val="E9BD5C3F"/>
    <w:rsid w:val="F67FF132"/>
    <w:rsid w:val="FAAB5052"/>
    <w:rsid w:val="FBFE3BA9"/>
    <w:rsid w:val="FD7FBF6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nhideWhenUsed="0" w:uiPriority="99" w:semiHidden="0" w:name="heading 3"/>
    <w:lsdException w:qFormat="1" w:unhideWhenUsed="0" w:uiPriority="0" w:semiHidden="0" w:name="heading 4" w:locked="1"/>
    <w:lsdException w:qFormat="1" w:uiPriority="0" w:name="heading 5" w:locked="1"/>
    <w:lsdException w:qFormat="1" w:unhideWhenUsed="0" w:uiPriority="9" w:semiHidden="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99" w:name="toc 3"/>
    <w:lsdException w:qFormat="1" w:unhideWhenUsed="0" w:uiPriority="0" w:name="toc 4"/>
    <w:lsdException w:qFormat="1" w:unhideWhenUsed="0" w:uiPriority="0" w:name="toc 5"/>
    <w:lsdException w:qFormat="1" w:unhideWhenUsed="0" w:uiPriority="0"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paragraph" w:styleId="5">
    <w:name w:val="heading 1"/>
    <w:basedOn w:val="1"/>
    <w:next w:val="1"/>
    <w:link w:val="34"/>
    <w:qFormat/>
    <w:uiPriority w:val="99"/>
    <w:pPr>
      <w:keepNext/>
      <w:keepLines/>
      <w:spacing w:line="576" w:lineRule="auto"/>
      <w:outlineLvl w:val="0"/>
    </w:pPr>
    <w:rPr>
      <w:rFonts w:ascii="Calibri" w:hAnsi="Calibri" w:cs="Calibri"/>
      <w:b/>
      <w:bCs/>
      <w:kern w:val="44"/>
      <w:sz w:val="44"/>
      <w:szCs w:val="44"/>
    </w:rPr>
  </w:style>
  <w:style w:type="paragraph" w:styleId="2">
    <w:name w:val="heading 2"/>
    <w:basedOn w:val="1"/>
    <w:next w:val="3"/>
    <w:link w:val="33"/>
    <w:qFormat/>
    <w:uiPriority w:val="9"/>
    <w:pPr>
      <w:keepNext/>
      <w:spacing w:line="216" w:lineRule="auto"/>
      <w:outlineLvl w:val="1"/>
    </w:pPr>
    <w:rPr>
      <w:rFonts w:ascii="宋体" w:hAnsi="Calibri" w:cs="宋体"/>
      <w:b/>
      <w:bCs/>
      <w:sz w:val="28"/>
      <w:szCs w:val="28"/>
    </w:rPr>
  </w:style>
  <w:style w:type="paragraph" w:styleId="6">
    <w:name w:val="heading 3"/>
    <w:basedOn w:val="1"/>
    <w:next w:val="1"/>
    <w:link w:val="36"/>
    <w:qFormat/>
    <w:uiPriority w:val="99"/>
    <w:pPr>
      <w:keepNext/>
      <w:numPr>
        <w:ilvl w:val="0"/>
        <w:numId w:val="1"/>
      </w:numPr>
      <w:spacing w:line="216" w:lineRule="auto"/>
      <w:outlineLvl w:val="2"/>
    </w:pPr>
    <w:rPr>
      <w:rFonts w:ascii="宋体" w:hAnsi="Calibri" w:cs="宋体"/>
      <w:b/>
      <w:bCs/>
      <w:sz w:val="28"/>
      <w:szCs w:val="28"/>
    </w:rPr>
  </w:style>
  <w:style w:type="paragraph" w:styleId="7">
    <w:name w:val="heading 4"/>
    <w:next w:val="1"/>
    <w:qFormat/>
    <w:locked/>
    <w:uiPriority w:val="0"/>
    <w:pPr>
      <w:keepLines/>
      <w:autoSpaceDE w:val="0"/>
      <w:autoSpaceDN w:val="0"/>
      <w:adjustRightInd w:val="0"/>
      <w:textAlignment w:val="baseline"/>
      <w:outlineLvl w:val="3"/>
    </w:pPr>
    <w:rPr>
      <w:rFonts w:ascii="Times New Roman" w:hAnsi="Times New Roman" w:eastAsia="楷体_GB2312" w:cs="Times New Roman"/>
      <w:b/>
      <w:snapToGrid w:val="0"/>
      <w:sz w:val="24"/>
      <w:lang w:val="en-US" w:eastAsia="zh-CN" w:bidi="ar-SA"/>
    </w:rPr>
  </w:style>
  <w:style w:type="paragraph" w:styleId="8">
    <w:name w:val="heading 6"/>
    <w:basedOn w:val="1"/>
    <w:next w:val="1"/>
    <w:qFormat/>
    <w:locked/>
    <w:uiPriority w:val="9"/>
    <w:pPr>
      <w:ind w:left="118"/>
      <w:outlineLvl w:val="5"/>
    </w:pPr>
    <w:rPr>
      <w:rFonts w:ascii="微软雅黑" w:hAnsi="微软雅黑" w:eastAsia="微软雅黑" w:cs="微软雅黑"/>
      <w:b/>
      <w:bCs/>
      <w:sz w:val="24"/>
      <w:szCs w:val="24"/>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4"/>
    <w:link w:val="74"/>
    <w:qFormat/>
    <w:uiPriority w:val="0"/>
    <w:pPr>
      <w:ind w:firstLine="420"/>
    </w:pPr>
  </w:style>
  <w:style w:type="paragraph" w:styleId="4">
    <w:name w:val="toc 4"/>
    <w:basedOn w:val="1"/>
    <w:next w:val="1"/>
    <w:semiHidden/>
    <w:qFormat/>
    <w:uiPriority w:val="0"/>
    <w:pPr>
      <w:ind w:left="1260" w:leftChars="600"/>
    </w:pPr>
  </w:style>
  <w:style w:type="paragraph" w:styleId="9">
    <w:name w:val="Body Text"/>
    <w:basedOn w:val="1"/>
    <w:next w:val="10"/>
    <w:link w:val="38"/>
    <w:qFormat/>
    <w:uiPriority w:val="99"/>
  </w:style>
  <w:style w:type="paragraph" w:styleId="10">
    <w:name w:val="Body Text First Indent"/>
    <w:basedOn w:val="9"/>
    <w:next w:val="11"/>
    <w:link w:val="37"/>
    <w:qFormat/>
    <w:uiPriority w:val="99"/>
    <w:pPr>
      <w:ind w:firstLine="420" w:firstLineChars="100"/>
    </w:pPr>
  </w:style>
  <w:style w:type="paragraph" w:styleId="11">
    <w:name w:val="toc 6"/>
    <w:basedOn w:val="1"/>
    <w:next w:val="1"/>
    <w:semiHidden/>
    <w:qFormat/>
    <w:uiPriority w:val="0"/>
    <w:pPr>
      <w:ind w:left="2100" w:leftChars="1000"/>
    </w:pPr>
  </w:style>
  <w:style w:type="paragraph" w:styleId="12">
    <w:name w:val="Body Text Indent"/>
    <w:basedOn w:val="1"/>
    <w:next w:val="1"/>
    <w:link w:val="39"/>
    <w:qFormat/>
    <w:uiPriority w:val="99"/>
    <w:pPr>
      <w:adjustRightInd w:val="0"/>
      <w:spacing w:line="360" w:lineRule="auto"/>
      <w:ind w:firstLine="490"/>
    </w:pPr>
    <w:rPr>
      <w:rFonts w:ascii="宋体" w:hAnsi="宋体" w:cs="宋体"/>
      <w:sz w:val="24"/>
      <w:szCs w:val="24"/>
    </w:rPr>
  </w:style>
  <w:style w:type="paragraph" w:styleId="13">
    <w:name w:val="toc 5"/>
    <w:basedOn w:val="1"/>
    <w:next w:val="1"/>
    <w:semiHidden/>
    <w:qFormat/>
    <w:uiPriority w:val="0"/>
    <w:pPr>
      <w:ind w:left="1680" w:leftChars="800"/>
    </w:pPr>
    <w:rPr>
      <w:kern w:val="2"/>
      <w:sz w:val="21"/>
      <w:szCs w:val="24"/>
    </w:rPr>
  </w:style>
  <w:style w:type="paragraph" w:styleId="14">
    <w:name w:val="toc 3"/>
    <w:next w:val="1"/>
    <w:semiHidden/>
    <w:qFormat/>
    <w:uiPriority w:val="99"/>
    <w:pPr>
      <w:ind w:left="840" w:leftChars="400"/>
    </w:pPr>
    <w:rPr>
      <w:rFonts w:ascii="Times New Roman" w:hAnsi="Times New Roman" w:eastAsia="宋体" w:cs="Times New Roman"/>
      <w:lang w:val="en-US" w:eastAsia="zh-CN" w:bidi="ar-SA"/>
    </w:rPr>
  </w:style>
  <w:style w:type="paragraph" w:styleId="15">
    <w:name w:val="Plain Text"/>
    <w:basedOn w:val="1"/>
    <w:next w:val="1"/>
    <w:link w:val="40"/>
    <w:qFormat/>
    <w:uiPriority w:val="0"/>
    <w:rPr>
      <w:rFonts w:ascii="宋体" w:hAnsi="Courier New" w:cs="宋体"/>
    </w:rPr>
  </w:style>
  <w:style w:type="paragraph" w:styleId="16">
    <w:name w:val="Date"/>
    <w:basedOn w:val="1"/>
    <w:next w:val="1"/>
    <w:link w:val="41"/>
    <w:qFormat/>
    <w:uiPriority w:val="99"/>
    <w:pPr>
      <w:ind w:left="100" w:leftChars="2500"/>
    </w:pPr>
    <w:rPr>
      <w:rFonts w:ascii="宋体" w:hAnsi="宋体" w:cs="宋体"/>
      <w:color w:val="000000"/>
      <w:sz w:val="24"/>
      <w:szCs w:val="24"/>
    </w:rPr>
  </w:style>
  <w:style w:type="paragraph" w:styleId="17">
    <w:name w:val="Balloon Text"/>
    <w:link w:val="42"/>
    <w:semiHidden/>
    <w:qFormat/>
    <w:uiPriority w:val="99"/>
    <w:rPr>
      <w:rFonts w:ascii="Times New Roman" w:hAnsi="Times New Roman" w:eastAsia="宋体" w:cs="Times New Roman"/>
      <w:sz w:val="18"/>
      <w:szCs w:val="18"/>
      <w:lang w:val="en-US" w:eastAsia="zh-CN" w:bidi="ar-SA"/>
    </w:rPr>
  </w:style>
  <w:style w:type="paragraph" w:styleId="18">
    <w:name w:val="footer"/>
    <w:basedOn w:val="1"/>
    <w:link w:val="43"/>
    <w:qFormat/>
    <w:uiPriority w:val="99"/>
    <w:pPr>
      <w:tabs>
        <w:tab w:val="center" w:pos="4153"/>
        <w:tab w:val="right" w:pos="8306"/>
      </w:tabs>
      <w:snapToGrid w:val="0"/>
    </w:pPr>
    <w:rPr>
      <w:sz w:val="18"/>
      <w:szCs w:val="18"/>
    </w:rPr>
  </w:style>
  <w:style w:type="paragraph" w:styleId="19">
    <w:name w:val="header"/>
    <w:basedOn w:val="1"/>
    <w:link w:val="44"/>
    <w:qFormat/>
    <w:uiPriority w:val="99"/>
    <w:pPr>
      <w:pBdr>
        <w:bottom w:val="single" w:color="auto" w:sz="6" w:space="1"/>
      </w:pBdr>
      <w:tabs>
        <w:tab w:val="center" w:pos="4153"/>
        <w:tab w:val="right" w:pos="8306"/>
      </w:tabs>
      <w:adjustRightInd w:val="0"/>
      <w:snapToGrid w:val="0"/>
      <w:spacing w:line="240" w:lineRule="atLeast"/>
      <w:jc w:val="center"/>
      <w:textAlignment w:val="baseline"/>
    </w:pPr>
    <w:rPr>
      <w:rFonts w:ascii="宋体" w:cs="宋体"/>
      <w:sz w:val="18"/>
      <w:szCs w:val="18"/>
    </w:rPr>
  </w:style>
  <w:style w:type="paragraph" w:styleId="20">
    <w:name w:val="toc 1"/>
    <w:next w:val="1"/>
    <w:qFormat/>
    <w:uiPriority w:val="39"/>
    <w:rPr>
      <w:rFonts w:ascii="Times New Roman" w:hAnsi="Times New Roman" w:eastAsia="宋体" w:cs="Times New Roman"/>
      <w:lang w:val="en-US" w:eastAsia="zh-CN" w:bidi="ar-SA"/>
    </w:rPr>
  </w:style>
  <w:style w:type="paragraph" w:styleId="21">
    <w:name w:val="toc 2"/>
    <w:next w:val="1"/>
    <w:qFormat/>
    <w:uiPriority w:val="39"/>
    <w:pPr>
      <w:ind w:left="420" w:leftChars="200"/>
    </w:pPr>
    <w:rPr>
      <w:rFonts w:ascii="Times New Roman" w:hAnsi="Times New Roman" w:eastAsia="宋体" w:cs="Times New Roman"/>
      <w:lang w:val="en-US" w:eastAsia="zh-CN" w:bidi="ar-SA"/>
    </w:rPr>
  </w:style>
  <w:style w:type="paragraph" w:styleId="22">
    <w:name w:val="Normal (Web)"/>
    <w:qFormat/>
    <w:uiPriority w:val="99"/>
    <w:pPr>
      <w:spacing w:before="100" w:beforeAutospacing="1" w:after="100" w:afterAutospacing="1"/>
    </w:pPr>
    <w:rPr>
      <w:rFonts w:ascii="宋体" w:hAnsi="宋体" w:eastAsia="宋体" w:cs="宋体"/>
      <w:sz w:val="24"/>
      <w:szCs w:val="24"/>
      <w:lang w:val="en-US" w:eastAsia="zh-CN" w:bidi="ar-SA"/>
    </w:rPr>
  </w:style>
  <w:style w:type="paragraph" w:styleId="23">
    <w:name w:val="Title"/>
    <w:basedOn w:val="1"/>
    <w:next w:val="1"/>
    <w:qFormat/>
    <w:locked/>
    <w:uiPriority w:val="0"/>
    <w:pPr>
      <w:spacing w:before="240" w:after="60"/>
      <w:jc w:val="center"/>
      <w:outlineLvl w:val="0"/>
    </w:pPr>
    <w:rPr>
      <w:rFonts w:ascii="Cambria" w:hAnsi="Cambria"/>
      <w:b/>
      <w:bCs/>
      <w:sz w:val="32"/>
      <w:szCs w:val="32"/>
    </w:rPr>
  </w:style>
  <w:style w:type="paragraph" w:styleId="24">
    <w:name w:val="Body Text First Indent 2"/>
    <w:basedOn w:val="12"/>
    <w:next w:val="25"/>
    <w:link w:val="80"/>
    <w:qFormat/>
    <w:uiPriority w:val="99"/>
    <w:pPr>
      <w:ind w:firstLine="420"/>
    </w:pPr>
  </w:style>
  <w:style w:type="paragraph" w:customStyle="1" w:styleId="25">
    <w:name w:val="xl53"/>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sz w:val="20"/>
    </w:rPr>
  </w:style>
  <w:style w:type="table" w:styleId="27">
    <w:name w:val="Table Grid"/>
    <w:basedOn w:val="26"/>
    <w:qFormat/>
    <w:uiPriority w:val="0"/>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99"/>
    <w:rPr>
      <w:b/>
      <w:bCs/>
    </w:rPr>
  </w:style>
  <w:style w:type="character" w:styleId="30">
    <w:name w:val="page number"/>
    <w:basedOn w:val="28"/>
    <w:qFormat/>
    <w:uiPriority w:val="99"/>
  </w:style>
  <w:style w:type="character" w:styleId="31">
    <w:name w:val="Hyperlink"/>
    <w:basedOn w:val="28"/>
    <w:qFormat/>
    <w:uiPriority w:val="99"/>
    <w:rPr>
      <w:color w:val="0000FF"/>
      <w:u w:val="single"/>
    </w:rPr>
  </w:style>
  <w:style w:type="character" w:styleId="32">
    <w:name w:val="HTML Sample"/>
    <w:basedOn w:val="28"/>
    <w:semiHidden/>
    <w:unhideWhenUsed/>
    <w:qFormat/>
    <w:uiPriority w:val="99"/>
    <w:rPr>
      <w:rFonts w:hint="default" w:ascii="Courier New" w:hAnsi="Courier New" w:eastAsia="宋体" w:cs="Courier New"/>
    </w:rPr>
  </w:style>
  <w:style w:type="character" w:customStyle="1" w:styleId="33">
    <w:name w:val="标题 2 字符"/>
    <w:basedOn w:val="28"/>
    <w:link w:val="2"/>
    <w:qFormat/>
    <w:locked/>
    <w:uiPriority w:val="9"/>
    <w:rPr>
      <w:rFonts w:ascii="宋体" w:cs="宋体"/>
      <w:b/>
      <w:bCs/>
      <w:kern w:val="2"/>
      <w:sz w:val="28"/>
      <w:szCs w:val="28"/>
    </w:rPr>
  </w:style>
  <w:style w:type="character" w:customStyle="1" w:styleId="34">
    <w:name w:val="标题 1 字符"/>
    <w:basedOn w:val="28"/>
    <w:link w:val="5"/>
    <w:qFormat/>
    <w:locked/>
    <w:uiPriority w:val="99"/>
    <w:rPr>
      <w:b/>
      <w:bCs/>
      <w:kern w:val="44"/>
      <w:sz w:val="44"/>
      <w:szCs w:val="44"/>
    </w:rPr>
  </w:style>
  <w:style w:type="paragraph" w:customStyle="1" w:styleId="35">
    <w:name w:val="正文缩进1"/>
    <w:qFormat/>
    <w:uiPriority w:val="0"/>
    <w:pPr>
      <w:ind w:firstLine="420" w:firstLineChars="200"/>
    </w:pPr>
    <w:rPr>
      <w:rFonts w:ascii="Times New Roman" w:hAnsi="Times New Roman" w:eastAsia="宋体" w:cs="Times New Roman"/>
      <w:lang w:val="en-US" w:eastAsia="zh-CN" w:bidi="ar-SA"/>
    </w:rPr>
  </w:style>
  <w:style w:type="character" w:customStyle="1" w:styleId="36">
    <w:name w:val="标题 3 字符"/>
    <w:basedOn w:val="28"/>
    <w:link w:val="6"/>
    <w:qFormat/>
    <w:locked/>
    <w:uiPriority w:val="99"/>
    <w:rPr>
      <w:rFonts w:ascii="宋体" w:cs="宋体"/>
      <w:b/>
      <w:bCs/>
      <w:kern w:val="2"/>
      <w:sz w:val="28"/>
      <w:szCs w:val="28"/>
    </w:rPr>
  </w:style>
  <w:style w:type="character" w:customStyle="1" w:styleId="37">
    <w:name w:val="正文文本首行缩进 字符"/>
    <w:basedOn w:val="38"/>
    <w:link w:val="10"/>
    <w:semiHidden/>
    <w:qFormat/>
    <w:uiPriority w:val="99"/>
    <w:rPr>
      <w:rFonts w:ascii="Times New Roman" w:hAnsi="Times New Roman"/>
      <w:szCs w:val="21"/>
    </w:rPr>
  </w:style>
  <w:style w:type="character" w:customStyle="1" w:styleId="38">
    <w:name w:val="正文文本 字符"/>
    <w:basedOn w:val="28"/>
    <w:link w:val="9"/>
    <w:semiHidden/>
    <w:qFormat/>
    <w:uiPriority w:val="99"/>
    <w:rPr>
      <w:rFonts w:ascii="Times New Roman" w:hAnsi="Times New Roman"/>
      <w:szCs w:val="21"/>
    </w:rPr>
  </w:style>
  <w:style w:type="character" w:customStyle="1" w:styleId="39">
    <w:name w:val="正文文本缩进 字符"/>
    <w:basedOn w:val="28"/>
    <w:link w:val="12"/>
    <w:semiHidden/>
    <w:qFormat/>
    <w:uiPriority w:val="99"/>
    <w:rPr>
      <w:rFonts w:ascii="Times New Roman" w:hAnsi="Times New Roman"/>
      <w:szCs w:val="21"/>
    </w:rPr>
  </w:style>
  <w:style w:type="character" w:customStyle="1" w:styleId="40">
    <w:name w:val="纯文本 字符"/>
    <w:basedOn w:val="28"/>
    <w:link w:val="15"/>
    <w:qFormat/>
    <w:uiPriority w:val="0"/>
    <w:rPr>
      <w:rFonts w:ascii="宋体" w:hAnsi="Courier New" w:cs="Courier New"/>
      <w:szCs w:val="21"/>
    </w:rPr>
  </w:style>
  <w:style w:type="character" w:customStyle="1" w:styleId="41">
    <w:name w:val="日期 字符"/>
    <w:basedOn w:val="28"/>
    <w:link w:val="16"/>
    <w:semiHidden/>
    <w:qFormat/>
    <w:uiPriority w:val="99"/>
    <w:rPr>
      <w:rFonts w:ascii="Times New Roman" w:hAnsi="Times New Roman"/>
      <w:szCs w:val="21"/>
    </w:rPr>
  </w:style>
  <w:style w:type="character" w:customStyle="1" w:styleId="42">
    <w:name w:val="批注框文本 字符"/>
    <w:basedOn w:val="28"/>
    <w:link w:val="17"/>
    <w:qFormat/>
    <w:locked/>
    <w:uiPriority w:val="99"/>
    <w:rPr>
      <w:kern w:val="2"/>
      <w:sz w:val="18"/>
      <w:szCs w:val="18"/>
    </w:rPr>
  </w:style>
  <w:style w:type="character" w:customStyle="1" w:styleId="43">
    <w:name w:val="页脚 字符"/>
    <w:basedOn w:val="28"/>
    <w:link w:val="18"/>
    <w:qFormat/>
    <w:uiPriority w:val="99"/>
    <w:rPr>
      <w:rFonts w:ascii="Times New Roman" w:hAnsi="Times New Roman"/>
      <w:sz w:val="18"/>
      <w:szCs w:val="18"/>
    </w:rPr>
  </w:style>
  <w:style w:type="character" w:customStyle="1" w:styleId="44">
    <w:name w:val="页眉 字符"/>
    <w:basedOn w:val="28"/>
    <w:link w:val="19"/>
    <w:qFormat/>
    <w:uiPriority w:val="99"/>
    <w:rPr>
      <w:rFonts w:ascii="Times New Roman" w:hAnsi="Times New Roman"/>
      <w:sz w:val="18"/>
      <w:szCs w:val="18"/>
    </w:rPr>
  </w:style>
  <w:style w:type="paragraph" w:customStyle="1" w:styleId="45">
    <w:name w:val="Body Text First Indent1"/>
    <w:basedOn w:val="9"/>
    <w:qFormat/>
    <w:uiPriority w:val="0"/>
    <w:pPr>
      <w:tabs>
        <w:tab w:val="left" w:pos="1275"/>
      </w:tabs>
      <w:ind w:firstLine="420" w:firstLineChars="100"/>
    </w:pPr>
  </w:style>
  <w:style w:type="paragraph" w:customStyle="1" w:styleId="46">
    <w:name w:val="表格文字"/>
    <w:basedOn w:val="12"/>
    <w:next w:val="9"/>
    <w:qFormat/>
    <w:uiPriority w:val="0"/>
    <w:pPr>
      <w:spacing w:line="420" w:lineRule="atLeast"/>
      <w:textAlignment w:val="baseline"/>
    </w:pPr>
    <w:rPr>
      <w:rFonts w:ascii="Times New Roman" w:hAnsi="Times New Roman" w:cs="Times New Roman"/>
    </w:rPr>
  </w:style>
  <w:style w:type="paragraph" w:customStyle="1" w:styleId="47">
    <w:name w:val="样式 表格正文 + 两端对齐"/>
    <w:next w:val="48"/>
    <w:qFormat/>
    <w:uiPriority w:val="99"/>
    <w:pPr>
      <w:spacing w:line="300" w:lineRule="auto"/>
    </w:pPr>
    <w:rPr>
      <w:rFonts w:ascii="Times New Roman" w:hAnsi="Times New Roman" w:eastAsia="宋体" w:cs="Times New Roman"/>
      <w:sz w:val="24"/>
      <w:szCs w:val="24"/>
      <w:lang w:val="en-US" w:eastAsia="zh-CN" w:bidi="ar-SA"/>
    </w:rPr>
  </w:style>
  <w:style w:type="paragraph" w:customStyle="1" w:styleId="48">
    <w:name w:val="正文1"/>
    <w:next w:val="49"/>
    <w:qFormat/>
    <w:uiPriority w:val="99"/>
    <w:pPr>
      <w:snapToGrid w:val="0"/>
      <w:spacing w:line="500" w:lineRule="exact"/>
      <w:ind w:firstLine="567"/>
    </w:pPr>
    <w:rPr>
      <w:rFonts w:ascii="楷体_GB2312" w:hAnsi="Times New Roman" w:eastAsia="楷体_GB2312" w:cs="楷体_GB2312"/>
      <w:sz w:val="28"/>
      <w:szCs w:val="28"/>
      <w:lang w:val="en-US" w:eastAsia="zh-CN" w:bidi="ar-SA"/>
    </w:rPr>
  </w:style>
  <w:style w:type="paragraph" w:customStyle="1" w:styleId="49">
    <w:name w:val="自动更正"/>
    <w:next w:val="5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50">
    <w:name w:val="xl39"/>
    <w:next w:val="51"/>
    <w:qFormat/>
    <w:uiPriority w:val="99"/>
    <w:pPr>
      <w:pBdr>
        <w:top w:val="single" w:color="auto" w:sz="4" w:space="0"/>
        <w:bottom w:val="single" w:color="auto" w:sz="4" w:space="0"/>
        <w:right w:val="single" w:color="auto" w:sz="4" w:space="0"/>
      </w:pBdr>
      <w:spacing w:before="100" w:after="100"/>
      <w:textAlignment w:val="center"/>
    </w:pPr>
    <w:rPr>
      <w:rFonts w:ascii="Times New Roman" w:hAnsi="Times New Roman" w:eastAsia="宋体" w:cs="Times New Roman"/>
      <w:lang w:val="en-US" w:eastAsia="zh-CN" w:bidi="ar-SA"/>
    </w:rPr>
  </w:style>
  <w:style w:type="paragraph" w:customStyle="1" w:styleId="51">
    <w:name w:val="分手多日，近况如何？"/>
    <w:qFormat/>
    <w:uiPriority w:val="0"/>
    <w:pPr>
      <w:widowControl w:val="0"/>
      <w:jc w:val="both"/>
    </w:pPr>
    <w:rPr>
      <w:rFonts w:ascii="Times New Roman" w:hAnsi="Times New Roman" w:eastAsia="宋体" w:cs="Times New Roman"/>
      <w:sz w:val="21"/>
      <w:szCs w:val="21"/>
      <w:lang w:val="en-US" w:eastAsia="zh-CN" w:bidi="ar-SA"/>
    </w:rPr>
  </w:style>
  <w:style w:type="paragraph" w:customStyle="1" w:styleId="52">
    <w:name w:val="正文2"/>
    <w:link w:val="73"/>
    <w:qFormat/>
    <w:uiPriority w:val="0"/>
    <w:pPr>
      <w:adjustRightInd w:val="0"/>
      <w:spacing w:before="156" w:line="360" w:lineRule="auto"/>
      <w:ind w:firstLine="510" w:firstLineChars="200"/>
    </w:pPr>
    <w:rPr>
      <w:rFonts w:ascii="Times New Roman" w:hAnsi="Times New Roman" w:eastAsia="宋体" w:cs="Times New Roman"/>
      <w:sz w:val="24"/>
      <w:szCs w:val="24"/>
      <w:lang w:val="en-US" w:eastAsia="zh-CN" w:bidi="ar-SA"/>
    </w:rPr>
  </w:style>
  <w:style w:type="paragraph" w:customStyle="1" w:styleId="53">
    <w:name w:val="List Paragraph1"/>
    <w:qFormat/>
    <w:uiPriority w:val="99"/>
    <w:pPr>
      <w:ind w:firstLine="420" w:firstLineChars="200"/>
    </w:pPr>
    <w:rPr>
      <w:rFonts w:ascii="Calibri" w:hAnsi="Calibri" w:eastAsia="宋体" w:cs="Calibri"/>
      <w:lang w:val="en-US" w:eastAsia="zh-CN" w:bidi="ar-SA"/>
    </w:rPr>
  </w:style>
  <w:style w:type="character" w:customStyle="1" w:styleId="54">
    <w:name w:val="style81"/>
    <w:qFormat/>
    <w:uiPriority w:val="99"/>
    <w:rPr>
      <w:sz w:val="20"/>
      <w:szCs w:val="20"/>
    </w:rPr>
  </w:style>
  <w:style w:type="paragraph" w:customStyle="1" w:styleId="55">
    <w:name w:val="列出段落1"/>
    <w:qFormat/>
    <w:uiPriority w:val="99"/>
    <w:pPr>
      <w:ind w:firstLine="420"/>
    </w:pPr>
    <w:rPr>
      <w:rFonts w:ascii="Times New Roman" w:hAnsi="Times New Roman" w:eastAsia="宋体" w:cs="Times New Roman"/>
      <w:lang w:val="en-US" w:eastAsia="zh-CN" w:bidi="ar-SA"/>
    </w:rPr>
  </w:style>
  <w:style w:type="paragraph" w:customStyle="1" w:styleId="56">
    <w:name w:val="表格"/>
    <w:qFormat/>
    <w:uiPriority w:val="99"/>
    <w:pPr>
      <w:autoSpaceDE w:val="0"/>
      <w:autoSpaceDN w:val="0"/>
      <w:jc w:val="center"/>
      <w:textAlignment w:val="baseline"/>
    </w:pPr>
    <w:rPr>
      <w:rFonts w:ascii="Times New Roman" w:hAnsi="Times New Roman" w:eastAsia="宋体" w:cs="Times New Roman"/>
      <w:color w:val="000000"/>
      <w:lang w:val="en-US" w:eastAsia="zh-CN" w:bidi="ar-SA"/>
    </w:rPr>
  </w:style>
  <w:style w:type="character" w:customStyle="1" w:styleId="57">
    <w:name w:val="02 Char"/>
    <w:link w:val="58"/>
    <w:qFormat/>
    <w:locked/>
    <w:uiPriority w:val="99"/>
    <w:rPr>
      <w:rFonts w:ascii="宋体" w:cs="宋体"/>
      <w:b/>
      <w:bCs/>
      <w:color w:val="FF0000"/>
      <w:kern w:val="2"/>
      <w:sz w:val="28"/>
      <w:szCs w:val="28"/>
    </w:rPr>
  </w:style>
  <w:style w:type="paragraph" w:customStyle="1" w:styleId="58">
    <w:name w:val="02"/>
    <w:basedOn w:val="2"/>
    <w:link w:val="57"/>
    <w:qFormat/>
    <w:uiPriority w:val="99"/>
    <w:pPr>
      <w:jc w:val="center"/>
    </w:pPr>
    <w:rPr>
      <w:color w:val="FF0000"/>
    </w:rPr>
  </w:style>
  <w:style w:type="character" w:customStyle="1" w:styleId="59">
    <w:name w:val="03 Char"/>
    <w:link w:val="60"/>
    <w:qFormat/>
    <w:locked/>
    <w:uiPriority w:val="99"/>
    <w:rPr>
      <w:rFonts w:ascii="宋体" w:cs="宋体"/>
      <w:b/>
      <w:bCs/>
      <w:kern w:val="2"/>
      <w:sz w:val="28"/>
      <w:szCs w:val="28"/>
    </w:rPr>
  </w:style>
  <w:style w:type="paragraph" w:customStyle="1" w:styleId="60">
    <w:name w:val="03"/>
    <w:basedOn w:val="6"/>
    <w:link w:val="59"/>
    <w:qFormat/>
    <w:uiPriority w:val="99"/>
    <w:pPr>
      <w:numPr>
        <w:ilvl w:val="0"/>
        <w:numId w:val="0"/>
      </w:numPr>
    </w:pPr>
  </w:style>
  <w:style w:type="character" w:customStyle="1" w:styleId="61">
    <w:name w:val="宋体小四 Char"/>
    <w:link w:val="62"/>
    <w:qFormat/>
    <w:locked/>
    <w:uiPriority w:val="99"/>
    <w:rPr>
      <w:rFonts w:ascii="宋体" w:eastAsia="宋体" w:cs="宋体"/>
      <w:kern w:val="2"/>
      <w:sz w:val="24"/>
      <w:szCs w:val="24"/>
    </w:rPr>
  </w:style>
  <w:style w:type="paragraph" w:customStyle="1" w:styleId="62">
    <w:name w:val="宋体小四"/>
    <w:link w:val="61"/>
    <w:qFormat/>
    <w:uiPriority w:val="99"/>
    <w:pPr>
      <w:spacing w:line="360" w:lineRule="auto"/>
      <w:ind w:firstLine="480" w:firstLineChars="200"/>
    </w:pPr>
    <w:rPr>
      <w:rFonts w:ascii="宋体" w:hAnsi="宋体" w:eastAsia="宋体" w:cs="宋体"/>
      <w:sz w:val="24"/>
      <w:szCs w:val="24"/>
      <w:lang w:val="en-US" w:eastAsia="zh-CN" w:bidi="ar-SA"/>
    </w:rPr>
  </w:style>
  <w:style w:type="character" w:customStyle="1" w:styleId="63">
    <w:name w:val="fontstyle01"/>
    <w:basedOn w:val="28"/>
    <w:qFormat/>
    <w:uiPriority w:val="99"/>
    <w:rPr>
      <w:rFonts w:ascii="宋体" w:eastAsia="宋体" w:cs="宋体"/>
      <w:color w:val="000000"/>
      <w:sz w:val="22"/>
      <w:szCs w:val="22"/>
    </w:rPr>
  </w:style>
  <w:style w:type="paragraph" w:customStyle="1" w:styleId="64">
    <w:name w:val="正文首行缩进2字符"/>
    <w:qFormat/>
    <w:uiPriority w:val="99"/>
    <w:pPr>
      <w:spacing w:line="360" w:lineRule="auto"/>
      <w:ind w:firstLine="200" w:firstLineChars="200"/>
    </w:pPr>
    <w:rPr>
      <w:rFonts w:ascii="Times New Roman" w:hAnsi="Times New Roman" w:eastAsia="宋体" w:cs="Times New Roman"/>
      <w:lang w:val="en-US" w:eastAsia="zh-CN" w:bidi="ar-SA"/>
    </w:rPr>
  </w:style>
  <w:style w:type="paragraph" w:customStyle="1" w:styleId="65">
    <w:name w:val="居中表格内容标题"/>
    <w:basedOn w:val="66"/>
    <w:qFormat/>
    <w:uiPriority w:val="0"/>
    <w:pPr>
      <w:jc w:val="center"/>
    </w:pPr>
    <w:rPr>
      <w:b/>
    </w:rPr>
  </w:style>
  <w:style w:type="paragraph" w:customStyle="1" w:styleId="66">
    <w:name w:val="居中表格内容"/>
    <w:qFormat/>
    <w:uiPriority w:val="0"/>
    <w:rPr>
      <w:rFonts w:ascii="Times New Roman" w:hAnsi="Times New Roman" w:eastAsia="宋体" w:cs="Times New Roman"/>
      <w:szCs w:val="28"/>
      <w:lang w:val="en-US" w:eastAsia="zh-CN" w:bidi="ar-SA"/>
    </w:rPr>
  </w:style>
  <w:style w:type="paragraph" w:styleId="67">
    <w:name w:val="List Paragraph"/>
    <w:link w:val="68"/>
    <w:qFormat/>
    <w:uiPriority w:val="34"/>
    <w:pPr>
      <w:ind w:firstLine="420" w:firstLineChars="200"/>
    </w:pPr>
    <w:rPr>
      <w:rFonts w:ascii="Times New Roman" w:hAnsi="Times New Roman" w:eastAsia="宋体" w:cs="Times New Roman"/>
      <w:lang w:val="en-US" w:eastAsia="zh-CN" w:bidi="ar-SA"/>
    </w:rPr>
  </w:style>
  <w:style w:type="character" w:customStyle="1" w:styleId="68">
    <w:name w:val="列表段落 字符"/>
    <w:basedOn w:val="28"/>
    <w:link w:val="67"/>
    <w:qFormat/>
    <w:uiPriority w:val="34"/>
  </w:style>
  <w:style w:type="table" w:customStyle="1" w:styleId="69">
    <w:name w:val="网格型浅色1"/>
    <w:basedOn w:val="26"/>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paragraph" w:customStyle="1" w:styleId="70">
    <w:name w:val="正文（首行缩进2字符）"/>
    <w:basedOn w:val="1"/>
    <w:qFormat/>
    <w:uiPriority w:val="0"/>
    <w:pPr>
      <w:spacing w:line="360" w:lineRule="auto"/>
      <w:ind w:firstLine="480" w:firstLineChars="200"/>
    </w:pPr>
    <w:rPr>
      <w:kern w:val="2"/>
      <w:sz w:val="24"/>
    </w:rPr>
  </w:style>
  <w:style w:type="paragraph" w:customStyle="1" w:styleId="71">
    <w:name w:val="标准正文格式"/>
    <w:basedOn w:val="1"/>
    <w:qFormat/>
    <w:uiPriority w:val="0"/>
    <w:pPr>
      <w:adjustRightInd w:val="0"/>
      <w:spacing w:before="60" w:after="120" w:line="360" w:lineRule="auto"/>
      <w:ind w:firstLine="200" w:firstLineChars="200"/>
      <w:textAlignment w:val="baseline"/>
    </w:pPr>
    <w:rPr>
      <w:rFonts w:ascii="宋体" w:eastAsia="仿宋_GB2312" w:cs="宋体" w:hAnsiTheme="minorHAnsi"/>
      <w:color w:val="000000"/>
      <w:kern w:val="2"/>
      <w:sz w:val="24"/>
    </w:rPr>
  </w:style>
  <w:style w:type="character" w:customStyle="1" w:styleId="72">
    <w:name w:val="纯文本 Char1"/>
    <w:qFormat/>
    <w:uiPriority w:val="99"/>
    <w:rPr>
      <w:rFonts w:ascii="宋体" w:hAnsi="Courier New" w:eastAsia="宋体"/>
      <w:kern w:val="2"/>
      <w:sz w:val="24"/>
      <w:szCs w:val="24"/>
      <w:lang w:val="en-US" w:eastAsia="zh-CN" w:bidi="ar-SA"/>
    </w:rPr>
  </w:style>
  <w:style w:type="character" w:customStyle="1" w:styleId="73">
    <w:name w:val="正文2 Char Char"/>
    <w:link w:val="52"/>
    <w:qFormat/>
    <w:uiPriority w:val="0"/>
    <w:rPr>
      <w:sz w:val="24"/>
      <w:szCs w:val="24"/>
    </w:rPr>
  </w:style>
  <w:style w:type="character" w:customStyle="1" w:styleId="74">
    <w:name w:val="正文缩进 字符"/>
    <w:link w:val="3"/>
    <w:qFormat/>
    <w:uiPriority w:val="0"/>
  </w:style>
  <w:style w:type="character" w:customStyle="1" w:styleId="75">
    <w:name w:val="15"/>
    <w:qFormat/>
    <w:uiPriority w:val="0"/>
    <w:rPr>
      <w:rFonts w:hint="default" w:ascii="Times New Roman" w:hAnsi="Times New Roman" w:cs="Times New Roman"/>
      <w:color w:val="0000FF"/>
      <w:sz w:val="24"/>
      <w:szCs w:val="20"/>
      <w:u w:val="single"/>
    </w:rPr>
  </w:style>
  <w:style w:type="character" w:customStyle="1" w:styleId="76">
    <w:name w:val="font41"/>
    <w:basedOn w:val="28"/>
    <w:qFormat/>
    <w:uiPriority w:val="0"/>
    <w:rPr>
      <w:rFonts w:hint="eastAsia" w:ascii="宋体" w:hAnsi="宋体" w:eastAsia="宋体" w:cs="宋体"/>
      <w:color w:val="000000"/>
      <w:sz w:val="24"/>
      <w:szCs w:val="24"/>
      <w:u w:val="none"/>
    </w:rPr>
  </w:style>
  <w:style w:type="character" w:customStyle="1" w:styleId="77">
    <w:name w:val="font121"/>
    <w:basedOn w:val="28"/>
    <w:qFormat/>
    <w:uiPriority w:val="0"/>
    <w:rPr>
      <w:rFonts w:hint="default" w:ascii="Times New Roman" w:hAnsi="Times New Roman" w:cs="Times New Roman"/>
      <w:color w:val="000000"/>
      <w:sz w:val="24"/>
      <w:szCs w:val="24"/>
      <w:u w:val="none"/>
    </w:rPr>
  </w:style>
  <w:style w:type="character" w:customStyle="1" w:styleId="78">
    <w:name w:val="font11"/>
    <w:basedOn w:val="28"/>
    <w:qFormat/>
    <w:uiPriority w:val="0"/>
    <w:rPr>
      <w:rFonts w:hint="eastAsia" w:ascii="宋体" w:hAnsi="宋体" w:eastAsia="宋体" w:cs="宋体"/>
      <w:color w:val="000000"/>
      <w:sz w:val="22"/>
      <w:szCs w:val="22"/>
      <w:u w:val="none"/>
    </w:rPr>
  </w:style>
  <w:style w:type="character" w:customStyle="1" w:styleId="79">
    <w:name w:val="font71"/>
    <w:basedOn w:val="28"/>
    <w:qFormat/>
    <w:uiPriority w:val="0"/>
    <w:rPr>
      <w:rFonts w:hint="default" w:ascii="Times New Roman" w:hAnsi="Times New Roman" w:cs="Times New Roman"/>
      <w:color w:val="000000"/>
      <w:sz w:val="22"/>
      <w:szCs w:val="22"/>
      <w:u w:val="none"/>
    </w:rPr>
  </w:style>
  <w:style w:type="character" w:customStyle="1" w:styleId="80">
    <w:name w:val="正文文本首行缩进 2 字符"/>
    <w:basedOn w:val="39"/>
    <w:link w:val="24"/>
    <w:qFormat/>
    <w:uiPriority w:val="99"/>
    <w:rPr>
      <w:rFonts w:ascii="宋体" w:hAnsi="宋体" w:cs="宋体"/>
      <w:sz w:val="24"/>
      <w:szCs w:val="24"/>
    </w:rPr>
  </w:style>
  <w:style w:type="paragraph" w:customStyle="1" w:styleId="81">
    <w:name w:val="正文_4_0"/>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1" Type="http://schemas.openxmlformats.org/officeDocument/2006/relationships/fontTable" Target="fontTable.xml"/><Relationship Id="rId70" Type="http://schemas.openxmlformats.org/officeDocument/2006/relationships/numbering" Target="numbering.xml"/><Relationship Id="rId7" Type="http://schemas.openxmlformats.org/officeDocument/2006/relationships/theme" Target="theme/theme1.xml"/><Relationship Id="rId69" Type="http://schemas.openxmlformats.org/officeDocument/2006/relationships/customXml" Target="../customXml/item1.xml"/><Relationship Id="rId68" Type="http://schemas.openxmlformats.org/officeDocument/2006/relationships/image" Target="media/image61.png"/><Relationship Id="rId67" Type="http://schemas.openxmlformats.org/officeDocument/2006/relationships/image" Target="media/image60.png"/><Relationship Id="rId66" Type="http://schemas.openxmlformats.org/officeDocument/2006/relationships/image" Target="media/image59.png"/><Relationship Id="rId65" Type="http://schemas.openxmlformats.org/officeDocument/2006/relationships/image" Target="media/image58.png"/><Relationship Id="rId64" Type="http://schemas.openxmlformats.org/officeDocument/2006/relationships/image" Target="media/image57.png"/><Relationship Id="rId63" Type="http://schemas.openxmlformats.org/officeDocument/2006/relationships/image" Target="media/image56.png"/><Relationship Id="rId62" Type="http://schemas.openxmlformats.org/officeDocument/2006/relationships/image" Target="media/image55.png"/><Relationship Id="rId61" Type="http://schemas.openxmlformats.org/officeDocument/2006/relationships/image" Target="media/image54.png"/><Relationship Id="rId60" Type="http://schemas.openxmlformats.org/officeDocument/2006/relationships/image" Target="media/image53.png"/><Relationship Id="rId6" Type="http://schemas.openxmlformats.org/officeDocument/2006/relationships/footer" Target="footer3.xml"/><Relationship Id="rId59" Type="http://schemas.openxmlformats.org/officeDocument/2006/relationships/image" Target="media/image52.png"/><Relationship Id="rId58" Type="http://schemas.openxmlformats.org/officeDocument/2006/relationships/image" Target="media/image51.png"/><Relationship Id="rId57" Type="http://schemas.openxmlformats.org/officeDocument/2006/relationships/image" Target="media/image50.png"/><Relationship Id="rId56" Type="http://schemas.openxmlformats.org/officeDocument/2006/relationships/image" Target="media/image49.png"/><Relationship Id="rId55" Type="http://schemas.openxmlformats.org/officeDocument/2006/relationships/image" Target="media/image48.png"/><Relationship Id="rId54" Type="http://schemas.openxmlformats.org/officeDocument/2006/relationships/image" Target="media/image47.png"/><Relationship Id="rId53" Type="http://schemas.openxmlformats.org/officeDocument/2006/relationships/image" Target="media/image46.png"/><Relationship Id="rId52" Type="http://schemas.openxmlformats.org/officeDocument/2006/relationships/image" Target="media/image45.png"/><Relationship Id="rId51" Type="http://schemas.openxmlformats.org/officeDocument/2006/relationships/image" Target="media/image44.png"/><Relationship Id="rId50" Type="http://schemas.openxmlformats.org/officeDocument/2006/relationships/image" Target="media/image43.png"/><Relationship Id="rId5" Type="http://schemas.openxmlformats.org/officeDocument/2006/relationships/header" Target="header1.xml"/><Relationship Id="rId49" Type="http://schemas.openxmlformats.org/officeDocument/2006/relationships/image" Target="media/image42.png"/><Relationship Id="rId48" Type="http://schemas.openxmlformats.org/officeDocument/2006/relationships/image" Target="media/image41.png"/><Relationship Id="rId47" Type="http://schemas.openxmlformats.org/officeDocument/2006/relationships/image" Target="media/image40.png"/><Relationship Id="rId46" Type="http://schemas.openxmlformats.org/officeDocument/2006/relationships/image" Target="media/image39.png"/><Relationship Id="rId45" Type="http://schemas.openxmlformats.org/officeDocument/2006/relationships/image" Target="media/image38.png"/><Relationship Id="rId44" Type="http://schemas.openxmlformats.org/officeDocument/2006/relationships/image" Target="media/image37.png"/><Relationship Id="rId43" Type="http://schemas.openxmlformats.org/officeDocument/2006/relationships/image" Target="media/image36.png"/><Relationship Id="rId42" Type="http://schemas.openxmlformats.org/officeDocument/2006/relationships/image" Target="media/image35.png"/><Relationship Id="rId41" Type="http://schemas.openxmlformats.org/officeDocument/2006/relationships/image" Target="media/image34.png"/><Relationship Id="rId40" Type="http://schemas.openxmlformats.org/officeDocument/2006/relationships/image" Target="media/image33.png"/><Relationship Id="rId4" Type="http://schemas.openxmlformats.org/officeDocument/2006/relationships/footer" Target="footer2.xml"/><Relationship Id="rId39" Type="http://schemas.openxmlformats.org/officeDocument/2006/relationships/image" Target="media/image32.png"/><Relationship Id="rId38" Type="http://schemas.openxmlformats.org/officeDocument/2006/relationships/image" Target="media/image31.png"/><Relationship Id="rId37" Type="http://schemas.openxmlformats.org/officeDocument/2006/relationships/image" Target="media/image30.png"/><Relationship Id="rId36" Type="http://schemas.openxmlformats.org/officeDocument/2006/relationships/image" Target="media/image29.png"/><Relationship Id="rId35" Type="http://schemas.openxmlformats.org/officeDocument/2006/relationships/image" Target="media/image28.png"/><Relationship Id="rId34" Type="http://schemas.openxmlformats.org/officeDocument/2006/relationships/image" Target="media/image27.png"/><Relationship Id="rId33" Type="http://schemas.openxmlformats.org/officeDocument/2006/relationships/image" Target="media/image26.png"/><Relationship Id="rId32" Type="http://schemas.openxmlformats.org/officeDocument/2006/relationships/image" Target="media/image25.png"/><Relationship Id="rId31" Type="http://schemas.openxmlformats.org/officeDocument/2006/relationships/image" Target="media/image24.png"/><Relationship Id="rId30" Type="http://schemas.openxmlformats.org/officeDocument/2006/relationships/image" Target="media/image23.png"/><Relationship Id="rId3" Type="http://schemas.openxmlformats.org/officeDocument/2006/relationships/footer" Target="footer1.xml"/><Relationship Id="rId29" Type="http://schemas.openxmlformats.org/officeDocument/2006/relationships/image" Target="media/image22.png"/><Relationship Id="rId28" Type="http://schemas.openxmlformats.org/officeDocument/2006/relationships/image" Target="media/image21.png"/><Relationship Id="rId27" Type="http://schemas.openxmlformats.org/officeDocument/2006/relationships/image" Target="media/image20.png"/><Relationship Id="rId26" Type="http://schemas.openxmlformats.org/officeDocument/2006/relationships/image" Target="media/image19.png"/><Relationship Id="rId25" Type="http://schemas.openxmlformats.org/officeDocument/2006/relationships/image" Target="media/image18.png"/><Relationship Id="rId24" Type="http://schemas.openxmlformats.org/officeDocument/2006/relationships/image" Target="media/image17.png"/><Relationship Id="rId23" Type="http://schemas.openxmlformats.org/officeDocument/2006/relationships/image" Target="media/image16.png"/><Relationship Id="rId22" Type="http://schemas.openxmlformats.org/officeDocument/2006/relationships/image" Target="media/image15.png"/><Relationship Id="rId21" Type="http://schemas.openxmlformats.org/officeDocument/2006/relationships/image" Target="media/image14.pn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P R C</Company>
  <Pages>58</Pages>
  <Words>28936</Words>
  <Characters>31511</Characters>
  <Lines>292</Lines>
  <Paragraphs>82</Paragraphs>
  <TotalTime>11</TotalTime>
  <ScaleCrop>false</ScaleCrop>
  <LinksUpToDate>false</LinksUpToDate>
  <CharactersWithSpaces>33219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2022-08-11T07:22:00Z</dcterms:created>
  <dc:creator>邹</dc:creator>
  <cp:lastModifiedBy>我是真快乐</cp:lastModifiedBy>
  <cp:lastPrinted>2022-08-19T09:03:00Z</cp:lastPrinted>
  <dcterms:modified xsi:type="dcterms:W3CDTF">2024-02-22T06:42:57Z</dcterms:modified>
  <dc:title>渣土资源利用桩基检测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942172EA924F43F0961F7917098C7761</vt:lpwstr>
  </property>
</Properties>
</file>