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F" w:rsidRDefault="00FD31EF" w:rsidP="00FD31EF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FD31EF" w:rsidRDefault="00FD31EF" w:rsidP="00FD31EF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</w:p>
    <w:p w:rsidR="00FD31EF" w:rsidRDefault="00FD31EF" w:rsidP="00FD31EF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上虞区“标准地”项目履约监管协议</w:t>
      </w:r>
    </w:p>
    <w:p w:rsidR="00FD31EF" w:rsidRDefault="00FD31EF" w:rsidP="00FD31EF">
      <w:pPr>
        <w:spacing w:line="480" w:lineRule="exact"/>
        <w:ind w:firstLine="633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FD31EF" w:rsidRDefault="00FD31EF" w:rsidP="00FD31EF">
      <w:pPr>
        <w:spacing w:line="480" w:lineRule="exact"/>
        <w:rPr>
          <w:rFonts w:asci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 xml:space="preserve">甲方： </w:t>
      </w:r>
      <w:r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                            </w:t>
      </w:r>
      <w:r>
        <w:rPr>
          <w:rFonts w:ascii="宋体" w:hAnsi="宋体" w:hint="eastAsia"/>
          <w:b/>
          <w:color w:val="000000"/>
          <w:sz w:val="30"/>
          <w:szCs w:val="30"/>
        </w:rPr>
        <w:t>（以下简称甲方）</w:t>
      </w:r>
    </w:p>
    <w:p w:rsidR="00FD31EF" w:rsidRDefault="00FD31EF" w:rsidP="00FD31EF">
      <w:pPr>
        <w:spacing w:line="480" w:lineRule="exact"/>
        <w:rPr>
          <w:rFonts w:ascii="仿宋_GB2312" w:eastAsia="仿宋_GB2312" w:hAnsi="仿宋_GB2312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乙方：</w:t>
      </w:r>
      <w:r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                             </w:t>
      </w:r>
      <w:r>
        <w:rPr>
          <w:rFonts w:ascii="宋体" w:hAnsi="宋体" w:hint="eastAsia"/>
          <w:b/>
          <w:color w:val="000000"/>
          <w:sz w:val="30"/>
          <w:szCs w:val="30"/>
        </w:rPr>
        <w:t>（以下简称乙方）</w:t>
      </w:r>
    </w:p>
    <w:p w:rsidR="00FD31EF" w:rsidRDefault="00FD31EF" w:rsidP="00FD31EF">
      <w:pPr>
        <w:spacing w:line="520" w:lineRule="exact"/>
        <w:ind w:firstLineChars="200" w:firstLine="602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一、地块基本情况</w:t>
      </w:r>
    </w:p>
    <w:p w:rsidR="00FD31EF" w:rsidRDefault="00FD31EF" w:rsidP="00FD31EF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（一）地块编号：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 </w:t>
      </w:r>
      <w:r>
        <w:rPr>
          <w:rFonts w:ascii="仿宋_GB2312" w:eastAsia="仿宋_GB2312" w:hint="eastAsia"/>
          <w:color w:val="000000"/>
          <w:sz w:val="30"/>
          <w:szCs w:val="30"/>
        </w:rPr>
        <w:t>；</w:t>
      </w:r>
    </w:p>
    <w:p w:rsidR="00FD31EF" w:rsidRDefault="00FD31EF" w:rsidP="00FD31EF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（二）出让面积：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</w:t>
      </w:r>
      <w:r>
        <w:rPr>
          <w:rFonts w:ascii="宋体" w:hAnsi="宋体" w:cs="宋体" w:hint="eastAsia"/>
          <w:color w:val="000000"/>
          <w:sz w:val="30"/>
          <w:szCs w:val="30"/>
        </w:rPr>
        <w:t>㎡</w:t>
      </w:r>
      <w:r>
        <w:rPr>
          <w:rFonts w:ascii="仿宋_GB2312" w:eastAsia="仿宋_GB2312" w:hint="eastAsia"/>
          <w:color w:val="000000"/>
          <w:sz w:val="30"/>
          <w:szCs w:val="30"/>
        </w:rPr>
        <w:t>（折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亩）； </w:t>
      </w:r>
    </w:p>
    <w:p w:rsidR="00FD31EF" w:rsidRDefault="00FD31EF" w:rsidP="00FD31EF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（三）建设地点：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   </w:t>
      </w:r>
      <w:r>
        <w:rPr>
          <w:rFonts w:ascii="仿宋_GB2312" w:eastAsia="仿宋_GB2312" w:hint="eastAsia"/>
          <w:color w:val="000000"/>
          <w:sz w:val="30"/>
          <w:szCs w:val="30"/>
        </w:rPr>
        <w:t>；</w:t>
      </w:r>
    </w:p>
    <w:p w:rsidR="00FD31EF" w:rsidRDefault="00FD31EF" w:rsidP="00FD31EF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（四）土地用途：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int="eastAsia"/>
          <w:color w:val="000000"/>
          <w:sz w:val="30"/>
          <w:szCs w:val="30"/>
        </w:rPr>
        <w:t>工业用地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；  </w:t>
      </w:r>
    </w:p>
    <w:p w:rsidR="00FD31EF" w:rsidRDefault="00FD31EF" w:rsidP="00FD31EF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（五）行业分类： 。</w:t>
      </w:r>
    </w:p>
    <w:p w:rsidR="00FD31EF" w:rsidRDefault="00FD31EF" w:rsidP="00FD31EF">
      <w:pPr>
        <w:spacing w:line="520" w:lineRule="exact"/>
        <w:ind w:firstLineChars="200" w:firstLine="602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二、控制指标</w:t>
      </w:r>
    </w:p>
    <w:p w:rsidR="00FD31EF" w:rsidRDefault="00FD31EF" w:rsidP="00FD31EF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（一）容积率：≥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30"/>
          <w:szCs w:val="30"/>
        </w:rPr>
        <w:t>；</w:t>
      </w:r>
    </w:p>
    <w:p w:rsidR="00FD31EF" w:rsidRDefault="00FD31EF" w:rsidP="00FD31EF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（二）投资强度：项目固定资产投资强度≥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0"/>
          <w:szCs w:val="30"/>
        </w:rPr>
        <w:t>万元</w:t>
      </w:r>
      <w:r>
        <w:rPr>
          <w:rFonts w:ascii="仿宋_GB2312" w:eastAsia="仿宋_GB2312"/>
          <w:color w:val="000000"/>
          <w:sz w:val="30"/>
          <w:szCs w:val="30"/>
        </w:rPr>
        <w:t>/</w:t>
      </w:r>
      <w:r>
        <w:rPr>
          <w:rFonts w:ascii="仿宋_GB2312" w:eastAsia="仿宋_GB2312" w:hint="eastAsia"/>
          <w:color w:val="000000"/>
          <w:sz w:val="30"/>
          <w:szCs w:val="30"/>
        </w:rPr>
        <w:t>亩；</w:t>
      </w:r>
    </w:p>
    <w:p w:rsidR="00FD31EF" w:rsidRDefault="00FD31EF" w:rsidP="00FD31EF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（三）产出标准：亩均税收≥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30"/>
          <w:szCs w:val="30"/>
        </w:rPr>
        <w:t>万元。</w:t>
      </w:r>
    </w:p>
    <w:p w:rsidR="00FD31EF" w:rsidRDefault="00FD31EF" w:rsidP="00FD31EF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（四）能耗标准：符合</w:t>
      </w: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杭州湾上虞经济技术开发区/杭州湾上虞经济技术开发区</w:t>
      </w:r>
      <w:r>
        <w:rPr>
          <w:rFonts w:ascii="仿宋_GB2312" w:eastAsia="仿宋_GB2312" w:hint="eastAsia"/>
          <w:color w:val="000000"/>
          <w:sz w:val="30"/>
          <w:szCs w:val="30"/>
        </w:rPr>
        <w:t>区域能评要求，</w:t>
      </w:r>
      <w:proofErr w:type="gramStart"/>
      <w:r>
        <w:rPr>
          <w:rFonts w:ascii="仿宋_GB2312" w:eastAsia="仿宋_GB2312" w:hint="eastAsia"/>
          <w:color w:val="000000"/>
          <w:sz w:val="30"/>
          <w:szCs w:val="30"/>
        </w:rPr>
        <w:t>且单位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>能耗增加值≥     （万元/吨标煤）；</w:t>
      </w:r>
    </w:p>
    <w:p w:rsidR="00FD31EF" w:rsidRDefault="00FD31EF" w:rsidP="00FD31EF">
      <w:pPr>
        <w:spacing w:line="520" w:lineRule="exact"/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五）环境标准：1.空间准入标准：符合上虞区环境功能区划及区域规划环评要求；2.污染物排放标准：符合最新国家和地方排放标准；3.环境质量管控标准：正式投入生产前取得总量平衡（调剂）意见或竞拍获得排污权，现有环境质量不下降；4.行业准入标准：国家、地方最新行业环境准入要求；5.其他事项：（1）单位排放增加值≥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>（万元/吨）；（2）参照</w:t>
      </w:r>
      <w:r>
        <w:rPr>
          <w:rFonts w:ascii="仿宋_GB2312" w:eastAsia="仿宋_GB2312" w:hint="eastAsia"/>
          <w:b/>
          <w:bCs/>
          <w:sz w:val="30"/>
          <w:szCs w:val="30"/>
        </w:rPr>
        <w:t>杭州湾上虞经济技术开发</w:t>
      </w:r>
      <w:r>
        <w:rPr>
          <w:rFonts w:ascii="仿宋_GB2312" w:eastAsia="仿宋_GB2312" w:hint="eastAsia"/>
          <w:color w:val="000000"/>
          <w:sz w:val="30"/>
          <w:szCs w:val="30"/>
        </w:rPr>
        <w:t>区规划环评要求。</w:t>
      </w:r>
    </w:p>
    <w:p w:rsidR="00FD31EF" w:rsidRDefault="00FD31EF" w:rsidP="00FD31EF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（六）开竣工期限：乙方同意本协议</w:t>
      </w:r>
      <w:proofErr w:type="gramStart"/>
      <w:r>
        <w:rPr>
          <w:rFonts w:ascii="仿宋_GB2312" w:eastAsia="仿宋_GB2312" w:hint="eastAsia"/>
          <w:color w:val="000000"/>
          <w:sz w:val="30"/>
          <w:szCs w:val="30"/>
        </w:rPr>
        <w:t>项下宗地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>建设项目开发</w:t>
      </w:r>
      <w:r>
        <w:rPr>
          <w:rFonts w:ascii="仿宋_GB2312" w:eastAsia="仿宋_GB2312" w:hint="eastAsia"/>
          <w:color w:val="000000"/>
          <w:sz w:val="30"/>
          <w:szCs w:val="30"/>
        </w:rPr>
        <w:lastRenderedPageBreak/>
        <w:t>建设期限为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</w:t>
      </w:r>
      <w:proofErr w:type="gramStart"/>
      <w:r>
        <w:rPr>
          <w:rFonts w:ascii="仿宋_GB2312" w:eastAsia="仿宋_GB2312" w:hint="eastAsia"/>
          <w:color w:val="000000"/>
          <w:sz w:val="30"/>
          <w:szCs w:val="30"/>
        </w:rPr>
        <w:t>个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>月；在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0"/>
          <w:szCs w:val="30"/>
        </w:rPr>
        <w:t>日之前开工（根据成交确认书填写），在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0"/>
          <w:szCs w:val="30"/>
        </w:rPr>
        <w:t>日之前竣工（根据成交确认书填写）。乙方不能按期竣工，应提前30日向甲方提出延期申请，经甲方同意后，报自然资源分局审批，其项目竣工时间相应顺延，但延期时间不得超过一年。</w:t>
      </w:r>
    </w:p>
    <w:p w:rsidR="00FD31EF" w:rsidRDefault="00FD31EF" w:rsidP="00FD31EF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（七）达</w:t>
      </w:r>
      <w:proofErr w:type="gramStart"/>
      <w:r>
        <w:rPr>
          <w:rFonts w:ascii="仿宋_GB2312" w:eastAsia="仿宋_GB2312" w:hint="eastAsia"/>
          <w:color w:val="000000"/>
          <w:sz w:val="30"/>
          <w:szCs w:val="30"/>
        </w:rPr>
        <w:t>产运行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>期限：乙方同意本协议</w:t>
      </w:r>
      <w:proofErr w:type="gramStart"/>
      <w:r>
        <w:rPr>
          <w:rFonts w:ascii="仿宋_GB2312" w:eastAsia="仿宋_GB2312" w:hint="eastAsia"/>
          <w:color w:val="000000"/>
          <w:sz w:val="30"/>
          <w:szCs w:val="30"/>
        </w:rPr>
        <w:t>项下宗地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>投产初始运行期限为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年（50亩以下地块为3年以内，50亩以上地块为4年以内），在 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30"/>
          <w:szCs w:val="30"/>
        </w:rPr>
        <w:t>日之前达产。</w:t>
      </w:r>
    </w:p>
    <w:p w:rsidR="00FD31EF" w:rsidRDefault="00FD31EF" w:rsidP="00FD31EF">
      <w:pPr>
        <w:spacing w:line="520" w:lineRule="exact"/>
        <w:ind w:firstLineChars="200" w:firstLine="600"/>
        <w:rPr>
          <w:rFonts w:ascii="仿宋_GB2312" w:eastAsia="仿宋_GB2312" w:hAnsi="Verdana"/>
          <w:color w:val="000000"/>
          <w:sz w:val="30"/>
          <w:szCs w:val="30"/>
        </w:rPr>
      </w:pPr>
      <w:r>
        <w:rPr>
          <w:rFonts w:ascii="仿宋_GB2312" w:eastAsia="仿宋_GB2312" w:hAnsi="Verdana" w:hint="eastAsia"/>
          <w:color w:val="000000"/>
          <w:sz w:val="30"/>
          <w:szCs w:val="30"/>
        </w:rPr>
        <w:t>（八）项目竣工和达产约定期限届满前一个月内，乙方应向本协议确定的牵头部门提出竣工验收、达产复核申请。</w:t>
      </w:r>
    </w:p>
    <w:p w:rsidR="00FD31EF" w:rsidRDefault="00FD31EF" w:rsidP="00FD31EF">
      <w:pPr>
        <w:spacing w:line="520" w:lineRule="exact"/>
        <w:ind w:firstLineChars="200" w:firstLine="600"/>
        <w:rPr>
          <w:rFonts w:ascii="仿宋_GB2312" w:eastAsia="仿宋_GB2312" w:hAnsi="仿宋_GB2312" w:cs="仿宋_GB2312"/>
          <w:color w:val="000000"/>
          <w:sz w:val="32"/>
          <w:szCs w:val="24"/>
        </w:rPr>
      </w:pPr>
      <w:r>
        <w:rPr>
          <w:rFonts w:ascii="仿宋_GB2312" w:eastAsia="仿宋_GB2312" w:hAnsi="Verdana" w:hint="eastAsia"/>
          <w:color w:val="000000"/>
          <w:sz w:val="30"/>
          <w:szCs w:val="30"/>
        </w:rPr>
        <w:t>（九）上述（一）至（五）项控制指标具体核算方法按《绍兴市上虞区人民政府办公室关于完善“标准地”履约监管协议通知》（</w:t>
      </w:r>
      <w:proofErr w:type="gramStart"/>
      <w:r>
        <w:rPr>
          <w:rFonts w:ascii="仿宋_GB2312" w:eastAsia="仿宋_GB2312" w:hAnsi="Verdana" w:hint="eastAsia"/>
          <w:color w:val="000000"/>
          <w:sz w:val="30"/>
          <w:szCs w:val="30"/>
        </w:rPr>
        <w:t>虞政办综[</w:t>
      </w:r>
      <w:proofErr w:type="gramEnd"/>
      <w:r>
        <w:rPr>
          <w:rFonts w:ascii="仿宋_GB2312" w:eastAsia="仿宋_GB2312" w:hAnsi="Verdana" w:hint="eastAsia"/>
          <w:color w:val="000000"/>
          <w:sz w:val="30"/>
          <w:szCs w:val="30"/>
        </w:rPr>
        <w:t>2020]12号）规定执行。</w:t>
      </w:r>
    </w:p>
    <w:p w:rsidR="00FD31EF" w:rsidRDefault="00FD31EF" w:rsidP="00FD31EF">
      <w:pPr>
        <w:spacing w:line="520" w:lineRule="exact"/>
        <w:ind w:firstLineChars="200" w:firstLine="602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三、违约责任</w:t>
      </w:r>
    </w:p>
    <w:p w:rsidR="00FD31EF" w:rsidRDefault="00FD31EF" w:rsidP="00FD31EF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Verdana" w:hint="eastAsia"/>
          <w:color w:val="000000"/>
          <w:sz w:val="30"/>
          <w:szCs w:val="30"/>
        </w:rPr>
        <w:t>（一）项目竣工约定期限届满前一个月内，乙方未提出竣工验收的，视同竣工验收未通过；项目达产约定期限届满前一个月内，乙方未提出达产复核的，视同达产复核未通过。</w:t>
      </w:r>
    </w:p>
    <w:p w:rsidR="00FD31EF" w:rsidRDefault="00FD31EF" w:rsidP="00FD31EF">
      <w:pPr>
        <w:spacing w:line="520" w:lineRule="exact"/>
        <w:ind w:firstLineChars="200" w:firstLine="600"/>
        <w:rPr>
          <w:rFonts w:ascii="仿宋_GB2312" w:eastAsia="仿宋_GB2312" w:hAnsi="仿宋_GB2312"/>
          <w:bCs/>
          <w:color w:val="000000"/>
          <w:sz w:val="30"/>
          <w:szCs w:val="30"/>
        </w:rPr>
      </w:pPr>
      <w:r>
        <w:rPr>
          <w:rFonts w:ascii="仿宋_GB2312" w:eastAsia="仿宋_GB2312" w:hAnsi="Verdana" w:hint="eastAsia"/>
          <w:color w:val="000000"/>
          <w:sz w:val="30"/>
          <w:szCs w:val="30"/>
        </w:rPr>
        <w:t>（二）竣工验收时，容积率、固定资产投资强度、行政办公及生活服务设施比例、建筑系数、绿地率等</w:t>
      </w:r>
      <w:r>
        <w:rPr>
          <w:rFonts w:ascii="仿宋_GB2312" w:eastAsia="仿宋_GB2312" w:hAnsi="仿宋_GB2312" w:hint="eastAsia"/>
          <w:bCs/>
          <w:color w:val="000000"/>
          <w:sz w:val="30"/>
          <w:szCs w:val="30"/>
        </w:rPr>
        <w:t>任一项不符合本协议约定的，乙方需按甲方要求</w:t>
      </w:r>
      <w:r>
        <w:rPr>
          <w:rFonts w:ascii="仿宋_GB2312" w:eastAsia="仿宋_GB2312" w:hint="eastAsia"/>
          <w:color w:val="000000"/>
          <w:sz w:val="30"/>
          <w:szCs w:val="30"/>
        </w:rPr>
        <w:t>限期整改，整改后仍不能达到本协议约定的</w:t>
      </w:r>
      <w:r>
        <w:rPr>
          <w:rFonts w:ascii="仿宋_GB2312" w:eastAsia="仿宋_GB2312" w:hAnsi="仿宋_GB2312" w:hint="eastAsia"/>
          <w:bCs/>
          <w:color w:val="000000"/>
          <w:sz w:val="30"/>
          <w:szCs w:val="30"/>
        </w:rPr>
        <w:t>，</w:t>
      </w:r>
      <w:r>
        <w:rPr>
          <w:rFonts w:ascii="仿宋_GB2312" w:eastAsia="仿宋_GB2312" w:hAnsi="Verdana" w:hint="eastAsia"/>
          <w:color w:val="000000"/>
          <w:sz w:val="30"/>
          <w:szCs w:val="30"/>
        </w:rPr>
        <w:t>竣工验收</w:t>
      </w:r>
      <w:r>
        <w:rPr>
          <w:rFonts w:ascii="仿宋_GB2312" w:eastAsia="仿宋_GB2312" w:hAnsi="仿宋_GB2312" w:hint="eastAsia"/>
          <w:bCs/>
          <w:color w:val="000000"/>
          <w:sz w:val="30"/>
          <w:szCs w:val="30"/>
        </w:rPr>
        <w:t>不予通过。验收合格的，办理不动产权证变更登记，并根据《履约监管协议》注明达产复核的期限。</w:t>
      </w:r>
    </w:p>
    <w:p w:rsidR="00FD31EF" w:rsidRDefault="00FD31EF" w:rsidP="00FD31EF">
      <w:pPr>
        <w:spacing w:line="520" w:lineRule="exact"/>
        <w:ind w:firstLineChars="200" w:firstLine="600"/>
        <w:rPr>
          <w:rFonts w:ascii="仿宋_GB2312" w:eastAsia="仿宋_GB2312" w:hAnsi="仿宋_GB2312"/>
          <w:bCs/>
          <w:color w:val="000000"/>
          <w:sz w:val="30"/>
          <w:szCs w:val="30"/>
        </w:rPr>
      </w:pPr>
      <w:r>
        <w:rPr>
          <w:rFonts w:ascii="仿宋_GB2312" w:eastAsia="仿宋_GB2312" w:hAnsi="仿宋_GB2312" w:hint="eastAsia"/>
          <w:bCs/>
          <w:color w:val="000000"/>
          <w:sz w:val="30"/>
          <w:szCs w:val="30"/>
        </w:rPr>
        <w:t>（三）达产复核时，亩均税收、单位能耗增加值、单位排放增加值等任一项不符合本协议约定的，乙方需按甲方要求</w:t>
      </w:r>
      <w:r>
        <w:rPr>
          <w:rFonts w:ascii="仿宋_GB2312" w:eastAsia="仿宋_GB2312" w:hint="eastAsia"/>
          <w:color w:val="000000"/>
          <w:sz w:val="30"/>
          <w:szCs w:val="30"/>
        </w:rPr>
        <w:t>限期整改，整改后仍不能达到本协议约定的</w:t>
      </w:r>
      <w:r>
        <w:rPr>
          <w:rFonts w:ascii="仿宋_GB2312" w:eastAsia="仿宋_GB2312" w:hAnsi="仿宋_GB2312" w:hint="eastAsia"/>
          <w:bCs/>
          <w:color w:val="000000"/>
          <w:sz w:val="30"/>
          <w:szCs w:val="30"/>
        </w:rPr>
        <w:t>，达产复核不予通过。</w:t>
      </w:r>
    </w:p>
    <w:p w:rsidR="00FD31EF" w:rsidRDefault="00FD31EF" w:rsidP="00FD31EF">
      <w:pPr>
        <w:spacing w:line="520" w:lineRule="exact"/>
        <w:ind w:firstLineChars="200" w:firstLine="600"/>
        <w:rPr>
          <w:rFonts w:ascii="仿宋_GB2312" w:eastAsia="仿宋_GB2312" w:hAnsi="仿宋_GB2312"/>
          <w:bCs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（四）达产复核未通过的，甲方有权提请相关部门</w:t>
      </w:r>
      <w:r>
        <w:rPr>
          <w:rFonts w:ascii="仿宋_GB2312" w:eastAsia="仿宋_GB2312" w:hAnsi="仿宋_GB2312" w:hint="eastAsia"/>
          <w:bCs/>
          <w:color w:val="000000"/>
          <w:sz w:val="30"/>
          <w:szCs w:val="30"/>
        </w:rPr>
        <w:t>不予办理</w:t>
      </w:r>
      <w:r>
        <w:rPr>
          <w:rFonts w:ascii="仿宋_GB2312" w:eastAsia="仿宋_GB2312" w:hAnsi="仿宋_GB2312" w:hint="eastAsia"/>
          <w:bCs/>
          <w:color w:val="000000"/>
          <w:sz w:val="30"/>
          <w:szCs w:val="30"/>
        </w:rPr>
        <w:lastRenderedPageBreak/>
        <w:t>不动产权证变更登记</w:t>
      </w:r>
      <w:r>
        <w:rPr>
          <w:rFonts w:ascii="仿宋_GB2312" w:eastAsia="仿宋_GB2312" w:hint="eastAsia"/>
          <w:color w:val="000000"/>
          <w:sz w:val="30"/>
          <w:szCs w:val="30"/>
        </w:rPr>
        <w:t>，且不得分割、转让和抵押土地使用权和房屋所有权，并有权提请相关部门依照国家和省规定纳入本级公共征信系统，依法供查询或予以公示。</w:t>
      </w:r>
    </w:p>
    <w:p w:rsidR="00FD31EF" w:rsidRDefault="00FD31EF" w:rsidP="00FD31EF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（五）建设项目竣工验收由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自然资源和规划分局</w:t>
      </w:r>
      <w:r>
        <w:rPr>
          <w:rFonts w:ascii="仿宋_GB2312" w:eastAsia="仿宋_GB2312" w:hint="eastAsia"/>
          <w:color w:val="000000"/>
          <w:sz w:val="30"/>
          <w:szCs w:val="30"/>
        </w:rPr>
        <w:t>牵头，甲方、经信、建设等部门配合；达产复核由经信局牵头，甲方、发改、生态环境、税务等部门配合。</w:t>
      </w:r>
    </w:p>
    <w:p w:rsidR="00FD31EF" w:rsidRDefault="00FD31EF" w:rsidP="00FD31EF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（六）本地块根据《绍兴市上虞区人民政府办公室关于招商引资（工业）项目地价差异化的指导意见》（</w:t>
      </w:r>
      <w:proofErr w:type="gramStart"/>
      <w:r>
        <w:rPr>
          <w:rFonts w:ascii="仿宋_GB2312" w:eastAsia="仿宋_GB2312" w:hint="eastAsia"/>
          <w:color w:val="000000"/>
          <w:sz w:val="30"/>
          <w:szCs w:val="30"/>
        </w:rPr>
        <w:t>虞政办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>发[2020]35号文件）享受地价优惠，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，</w:t>
      </w:r>
      <w:r>
        <w:rPr>
          <w:rFonts w:ascii="仿宋_GB2312" w:eastAsia="仿宋_GB2312" w:hint="eastAsia"/>
          <w:color w:val="000000"/>
          <w:sz w:val="30"/>
          <w:szCs w:val="30"/>
        </w:rPr>
        <w:t>如乙方未能履约的，则甲方限定乙方按优惠额或差额限期进行土地款补缴（具体补缴标准、方案由甲方确定）。</w:t>
      </w:r>
    </w:p>
    <w:p w:rsidR="00FD31EF" w:rsidRDefault="00FD31EF" w:rsidP="00FD31EF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（七）本地块若由相邻企业受让，则“标准地”控制性指标可在相邻企业间统筹。（针对相邻地块）</w:t>
      </w:r>
    </w:p>
    <w:p w:rsidR="00FD31EF" w:rsidRDefault="00FD31EF" w:rsidP="00FD31EF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（八）本地块须在《网上成交确认书》签订之日起</w:t>
      </w:r>
      <w:r>
        <w:rPr>
          <w:rFonts w:ascii="仿宋_GB2312" w:eastAsia="仿宋_GB2312" w:hint="eastAsia"/>
          <w:color w:val="FF0000"/>
          <w:sz w:val="30"/>
          <w:szCs w:val="30"/>
          <w:u w:val="single"/>
        </w:rPr>
        <w:t xml:space="preserve">  </w:t>
      </w:r>
      <w:proofErr w:type="gramStart"/>
      <w:r>
        <w:rPr>
          <w:rFonts w:ascii="仿宋_GB2312" w:eastAsia="仿宋_GB2312" w:hint="eastAsia"/>
          <w:color w:val="000000"/>
          <w:sz w:val="30"/>
          <w:szCs w:val="30"/>
        </w:rPr>
        <w:t>个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>月内开工建设，逾期未开工的，乙方须同意由甲方按原土地出让价款收回国有建设用地使用权。</w:t>
      </w:r>
    </w:p>
    <w:p w:rsidR="00FD31EF" w:rsidRDefault="00FD31EF" w:rsidP="00FD31EF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（九）乙方进行土地使用权转让须经甲方同意。</w:t>
      </w:r>
    </w:p>
    <w:p w:rsidR="00FD31EF" w:rsidRDefault="00FD31EF" w:rsidP="00FD31EF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（十）因不可抗力原因致使本协议无法履行的，双方协商解决。</w:t>
      </w:r>
    </w:p>
    <w:p w:rsidR="00FD31EF" w:rsidRDefault="00FD31EF" w:rsidP="00FD31EF">
      <w:pPr>
        <w:spacing w:line="520" w:lineRule="exact"/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（十一）本协议一式 四 份，甲乙双方各执一份，牵头部门各执一份。</w:t>
      </w:r>
    </w:p>
    <w:p w:rsidR="00FD31EF" w:rsidRDefault="00FD31EF" w:rsidP="00FD31EF">
      <w:pPr>
        <w:spacing w:line="52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甲方（章）：                        乙方（章）：</w:t>
      </w:r>
    </w:p>
    <w:p w:rsidR="00FD31EF" w:rsidRDefault="00FD31EF" w:rsidP="00FD31EF">
      <w:pPr>
        <w:spacing w:line="52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法定代表人（委托代理人）           法定代表人(委托代理人)</w:t>
      </w:r>
    </w:p>
    <w:p w:rsidR="00FD31EF" w:rsidRDefault="00FD31EF" w:rsidP="00FD31EF">
      <w:pPr>
        <w:spacing w:line="52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（签字）：                          （签字）：</w:t>
      </w:r>
    </w:p>
    <w:p w:rsidR="00FD31EF" w:rsidRDefault="00FD31EF" w:rsidP="00FD31EF">
      <w:pPr>
        <w:spacing w:line="520" w:lineRule="exact"/>
        <w:ind w:right="1200"/>
        <w:jc w:val="right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FD31EF" w:rsidRPr="00FD31EF" w:rsidRDefault="00FD31EF" w:rsidP="00FD31EF">
      <w:pPr>
        <w:spacing w:line="520" w:lineRule="exact"/>
        <w:ind w:right="1200"/>
        <w:jc w:val="right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年  月  日（与出让合同签订时间相致）</w:t>
      </w:r>
    </w:p>
    <w:sectPr w:rsidR="00FD31EF" w:rsidRPr="00FD31EF" w:rsidSect="0053267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920" w:rsidRDefault="00F93920" w:rsidP="00FD31EF">
      <w:r>
        <w:separator/>
      </w:r>
    </w:p>
  </w:endnote>
  <w:endnote w:type="continuationSeparator" w:id="0">
    <w:p w:rsidR="00F93920" w:rsidRDefault="00F93920" w:rsidP="00FD3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1EF" w:rsidRDefault="00FD31EF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FD31EF" w:rsidRDefault="00FD31E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1EF" w:rsidRDefault="00FD31E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104pt;margin-top:0;width:2in;height:2in;z-index:25166131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FD31EF" w:rsidRDefault="00FD31EF">
                <w:pPr>
                  <w:pStyle w:val="a4"/>
                  <w:rPr>
                    <w:rStyle w:val="a6"/>
                    <w:rFonts w:ascii="仿宋_GB2312" w:eastAsia="仿宋_GB2312" w:hAnsi="仿宋_GB2312" w:cs="仿宋_GB2312" w:hint="eastAsia"/>
                    <w:sz w:val="28"/>
                    <w:szCs w:val="28"/>
                  </w:rPr>
                </w:pPr>
                <w:r>
                  <w:rPr>
                    <w:rStyle w:val="a6"/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— </w:t>
                </w:r>
                <w:r>
                  <w:rPr>
                    <w:rStyle w:val="a6"/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6"/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Style w:val="a6"/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a6"/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2</w:t>
                </w:r>
                <w:r>
                  <w:rPr>
                    <w:rStyle w:val="a6"/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6"/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920" w:rsidRDefault="00F93920" w:rsidP="00FD31EF">
      <w:r>
        <w:separator/>
      </w:r>
    </w:p>
  </w:footnote>
  <w:footnote w:type="continuationSeparator" w:id="0">
    <w:p w:rsidR="00F93920" w:rsidRDefault="00F93920" w:rsidP="00FD3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465BE"/>
    <w:multiLevelType w:val="singleLevel"/>
    <w:tmpl w:val="628465BE"/>
    <w:lvl w:ilvl="0">
      <w:start w:val="11"/>
      <w:numFmt w:val="chineseCounting"/>
      <w:suff w:val="space"/>
      <w:lvlText w:val="第%1条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1EF"/>
    <w:rsid w:val="00532673"/>
    <w:rsid w:val="00F25F70"/>
    <w:rsid w:val="00F93920"/>
    <w:rsid w:val="00FD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D31E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1"/>
    <w:qFormat/>
    <w:rsid w:val="00FD31EF"/>
    <w:pPr>
      <w:autoSpaceDE w:val="0"/>
      <w:autoSpaceDN w:val="0"/>
      <w:ind w:left="930" w:right="1209"/>
      <w:jc w:val="center"/>
      <w:outlineLvl w:val="0"/>
    </w:pPr>
    <w:rPr>
      <w:rFonts w:ascii="宋体" w:hAnsi="宋体" w:cs="宋体"/>
      <w:kern w:val="0"/>
      <w:sz w:val="48"/>
      <w:szCs w:val="4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3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31EF"/>
    <w:rPr>
      <w:sz w:val="18"/>
      <w:szCs w:val="18"/>
    </w:rPr>
  </w:style>
  <w:style w:type="paragraph" w:styleId="a4">
    <w:name w:val="footer"/>
    <w:basedOn w:val="a"/>
    <w:link w:val="Char0"/>
    <w:unhideWhenUsed/>
    <w:rsid w:val="00FD3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31EF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FD31EF"/>
    <w:rPr>
      <w:rFonts w:ascii="宋体" w:eastAsia="宋体" w:hAnsi="宋体" w:cs="宋体"/>
      <w:kern w:val="0"/>
      <w:sz w:val="48"/>
      <w:szCs w:val="48"/>
      <w:lang w:val="zh-CN" w:bidi="zh-CN"/>
    </w:rPr>
  </w:style>
  <w:style w:type="paragraph" w:styleId="a5">
    <w:name w:val="Body Text Indent"/>
    <w:basedOn w:val="a"/>
    <w:link w:val="Char1"/>
    <w:uiPriority w:val="99"/>
    <w:semiHidden/>
    <w:unhideWhenUsed/>
    <w:rsid w:val="00FD31EF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FD31EF"/>
    <w:rPr>
      <w:rFonts w:ascii="Times New Roman" w:eastAsia="宋体" w:hAnsi="Times New Roman" w:cs="Times New Roman"/>
      <w:szCs w:val="21"/>
    </w:rPr>
  </w:style>
  <w:style w:type="paragraph" w:styleId="2">
    <w:name w:val="Body Text First Indent 2"/>
    <w:basedOn w:val="a5"/>
    <w:link w:val="2Char"/>
    <w:qFormat/>
    <w:rsid w:val="00FD31EF"/>
    <w:pPr>
      <w:spacing w:line="560" w:lineRule="exact"/>
      <w:ind w:firstLineChars="200" w:firstLine="420"/>
      <w:jc w:val="left"/>
    </w:pPr>
    <w:rPr>
      <w:rFonts w:eastAsia="仿宋_GB2312"/>
      <w:sz w:val="28"/>
    </w:rPr>
  </w:style>
  <w:style w:type="character" w:customStyle="1" w:styleId="2Char">
    <w:name w:val="正文首行缩进 2 Char"/>
    <w:basedOn w:val="Char1"/>
    <w:link w:val="2"/>
    <w:rsid w:val="00FD31EF"/>
    <w:rPr>
      <w:rFonts w:eastAsia="仿宋_GB2312"/>
      <w:sz w:val="28"/>
    </w:rPr>
  </w:style>
  <w:style w:type="character" w:styleId="a6">
    <w:name w:val="page number"/>
    <w:basedOn w:val="a0"/>
    <w:rsid w:val="00FD3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2022-11-10T02:40:00Z</dcterms:created>
  <dcterms:modified xsi:type="dcterms:W3CDTF">2022-11-10T02:41:00Z</dcterms:modified>
</cp:coreProperties>
</file>