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kern w:val="2"/>
          <w:sz w:val="44"/>
        </w:rPr>
      </w:pPr>
      <w:r>
        <w:rPr>
          <w:rFonts w:hint="eastAsia" w:asciiTheme="majorEastAsia" w:hAnsiTheme="majorEastAsia" w:eastAsiaTheme="majorEastAsia"/>
          <w:b/>
          <w:kern w:val="2"/>
          <w:sz w:val="44"/>
        </w:rPr>
        <w:t>《绍兴市上虞区人民政府办公室关于鼓励支持开放型经济发展的若干政策的通知》</w:t>
      </w:r>
    </w:p>
    <w:p>
      <w:pPr>
        <w:jc w:val="center"/>
        <w:rPr>
          <w:rFonts w:asciiTheme="majorEastAsia" w:hAnsiTheme="majorEastAsia" w:eastAsiaTheme="majorEastAsia"/>
          <w:b/>
          <w:kern w:val="2"/>
          <w:sz w:val="44"/>
        </w:rPr>
      </w:pPr>
      <w:r>
        <w:rPr>
          <w:rFonts w:hint="eastAsia" w:asciiTheme="majorEastAsia" w:hAnsiTheme="majorEastAsia" w:eastAsiaTheme="majorEastAsia"/>
          <w:b/>
          <w:kern w:val="2"/>
          <w:sz w:val="44"/>
        </w:rPr>
        <w:t>政策解读</w:t>
      </w:r>
    </w:p>
    <w:p>
      <w:pPr>
        <w:jc w:val="center"/>
        <w:rPr>
          <w:rFonts w:ascii="黑体" w:hAnsi="黑体" w:eastAsia="黑体"/>
          <w:sz w:val="36"/>
          <w:szCs w:val="36"/>
        </w:rPr>
      </w:pPr>
    </w:p>
    <w:p>
      <w:p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一、制定背景</w:t>
      </w:r>
    </w:p>
    <w:p>
      <w:pPr>
        <w:autoSpaceDE w:val="0"/>
        <w:autoSpaceDN w:val="0"/>
        <w:adjustRightInd w:val="0"/>
        <w:jc w:val="left"/>
        <w:rPr>
          <w:rFonts w:ascii="仿宋" w:hAnsi="仿宋" w:eastAsia="仿宋" w:cs="仿宋"/>
          <w:sz w:val="30"/>
          <w:szCs w:val="30"/>
        </w:rPr>
      </w:pPr>
      <w:r>
        <w:rPr>
          <w:rFonts w:hint="eastAsia" w:ascii="仿宋" w:hAnsi="仿宋" w:eastAsia="仿宋" w:cs="仿宋"/>
          <w:sz w:val="30"/>
          <w:szCs w:val="30"/>
        </w:rPr>
        <w:t xml:space="preserve">    为贯彻落实</w:t>
      </w:r>
      <w:r>
        <w:rPr>
          <w:rFonts w:hint="eastAsia" w:ascii="仿宋" w:hAnsi="仿宋" w:eastAsia="仿宋" w:cs="仿宋"/>
          <w:sz w:val="30"/>
          <w:szCs w:val="30"/>
          <w:lang w:eastAsia="zh-CN"/>
        </w:rPr>
        <w:t>上级党委政府</w:t>
      </w:r>
      <w:r>
        <w:rPr>
          <w:rFonts w:hint="eastAsia" w:ascii="仿宋" w:hAnsi="仿宋" w:eastAsia="仿宋" w:cs="仿宋"/>
          <w:sz w:val="30"/>
          <w:szCs w:val="30"/>
        </w:rPr>
        <w:t>进一步扩大开放重大举措，鼓励支持开放型经济发展，绍兴市</w:t>
      </w:r>
      <w:r>
        <w:rPr>
          <w:rFonts w:hint="eastAsia" w:ascii="仿宋" w:hAnsi="仿宋" w:eastAsia="仿宋" w:cs="仿宋"/>
          <w:sz w:val="30"/>
          <w:szCs w:val="30"/>
          <w:lang w:eastAsia="zh-CN"/>
        </w:rPr>
        <w:t>拟</w:t>
      </w:r>
      <w:r>
        <w:rPr>
          <w:rFonts w:hint="eastAsia" w:ascii="仿宋" w:hAnsi="仿宋" w:eastAsia="仿宋" w:cs="仿宋"/>
          <w:sz w:val="30"/>
          <w:szCs w:val="30"/>
        </w:rPr>
        <w:t>出台鼓励支持开放型经济发展若干政策</w:t>
      </w:r>
      <w:r>
        <w:rPr>
          <w:rFonts w:hint="eastAsia" w:ascii="仿宋" w:hAnsi="仿宋" w:eastAsia="仿宋" w:cs="仿宋"/>
          <w:sz w:val="30"/>
          <w:szCs w:val="30"/>
          <w:lang w:eastAsia="zh-CN"/>
        </w:rPr>
        <w:t>（待发文）</w:t>
      </w:r>
      <w:r>
        <w:rPr>
          <w:rFonts w:hint="eastAsia" w:ascii="仿宋" w:hAnsi="仿宋" w:eastAsia="仿宋" w:cs="仿宋"/>
          <w:sz w:val="30"/>
          <w:szCs w:val="30"/>
        </w:rPr>
        <w:t>，从202</w:t>
      </w:r>
      <w:r>
        <w:rPr>
          <w:rFonts w:hint="eastAsia" w:ascii="仿宋" w:hAnsi="仿宋" w:eastAsia="仿宋" w:cs="仿宋"/>
          <w:sz w:val="30"/>
          <w:szCs w:val="30"/>
          <w:lang w:val="en-US" w:eastAsia="zh-CN"/>
        </w:rPr>
        <w:t>4</w:t>
      </w:r>
      <w:r>
        <w:rPr>
          <w:rFonts w:hint="eastAsia" w:ascii="仿宋" w:hAnsi="仿宋" w:eastAsia="仿宋" w:cs="仿宋"/>
          <w:sz w:val="30"/>
          <w:szCs w:val="30"/>
        </w:rPr>
        <w:t>年1月1日起实行。区商务局、区投促中心根据文件精神结合上虞实际，草拟了《绍兴市上虞区人民政府办公室关于鼓励支持开放型经济发展的若干政策的通知》</w:t>
      </w:r>
      <w:r>
        <w:rPr>
          <w:rFonts w:hint="eastAsia" w:ascii="仿宋" w:hAnsi="仿宋" w:eastAsia="仿宋" w:cs="仿宋"/>
          <w:kern w:val="2"/>
          <w:sz w:val="30"/>
          <w:szCs w:val="30"/>
        </w:rPr>
        <w:t>。</w:t>
      </w:r>
    </w:p>
    <w:p>
      <w:p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二、制定过程</w:t>
      </w: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12月，上虞区商务局正式启动开放型经济政策政策调研和文件起草。前期，由区商务局分管领导牵头，对接区投促中心，根据《绍兴市鼓励支持开放型经济政策》（征求意见稿）研究讨论我区政策，根据实际，发文主体建议以区政府办公室名义下发，并在我区202</w:t>
      </w:r>
      <w:r>
        <w:rPr>
          <w:rFonts w:hint="eastAsia" w:ascii="仿宋" w:hAnsi="仿宋" w:eastAsia="仿宋" w:cs="仿宋"/>
          <w:sz w:val="30"/>
          <w:szCs w:val="30"/>
          <w:lang w:val="en-US" w:eastAsia="zh-CN"/>
        </w:rPr>
        <w:t>3</w:t>
      </w:r>
      <w:r>
        <w:rPr>
          <w:rFonts w:hint="eastAsia" w:ascii="仿宋" w:hAnsi="仿宋" w:eastAsia="仿宋" w:cs="仿宋"/>
          <w:sz w:val="30"/>
          <w:szCs w:val="30"/>
        </w:rPr>
        <w:t>年度开放型经济政策基础上，起草了《绍兴市上虞区人民政府办公室关于鼓励支持开放型经济发展的若干政策》（征求意见稿）。12月14日，区商务局通过OA系统征求区外办、区财政局、绍兴海关上虞办公区、区市场监督管理局、区税务局、区投资促进中心、区司法局、国家外汇管理局上虞支局等部门意见，同步征求重点外贸企业意见建议，根据各部门反馈意见，采纳财政局相关意见建议后形成《绍兴市上虞区人民政府办公室关于</w:t>
      </w:r>
      <w:bookmarkStart w:id="0" w:name="_GoBack"/>
      <w:bookmarkEnd w:id="0"/>
      <w:r>
        <w:rPr>
          <w:rFonts w:hint="eastAsia" w:ascii="仿宋" w:hAnsi="仿宋" w:eastAsia="仿宋" w:cs="仿宋"/>
          <w:sz w:val="30"/>
          <w:szCs w:val="30"/>
        </w:rPr>
        <w:t>鼓励支持开放型经济发展的若干政策》（审议稿），提交区政府专题会议研究。</w:t>
      </w:r>
    </w:p>
    <w:p>
      <w:pPr>
        <w:numPr>
          <w:ilvl w:val="0"/>
          <w:numId w:val="1"/>
        </w:num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主要内容</w:t>
      </w:r>
    </w:p>
    <w:p>
      <w:pPr>
        <w:pStyle w:val="7"/>
        <w:widowControl/>
        <w:shd w:val="clear" w:color="auto" w:fill="FFFFFF"/>
        <w:spacing w:beforeAutospacing="0" w:afterAutospacing="0" w:line="560" w:lineRule="exact"/>
        <w:ind w:firstLine="600" w:firstLineChars="200"/>
        <w:rPr>
          <w:rFonts w:ascii="仿宋" w:hAnsi="仿宋" w:eastAsia="仿宋" w:cs="仿宋_GB2312"/>
          <w:sz w:val="30"/>
          <w:szCs w:val="30"/>
          <w:shd w:val="clear" w:color="auto" w:fill="FFFFFF"/>
        </w:rPr>
      </w:pPr>
      <w:r>
        <w:rPr>
          <w:rFonts w:hint="eastAsia" w:ascii="仿宋" w:hAnsi="仿宋" w:eastAsia="仿宋" w:cs="仿宋_GB2312"/>
          <w:sz w:val="30"/>
          <w:szCs w:val="30"/>
          <w:shd w:val="clear" w:color="auto" w:fill="FFFFFF"/>
        </w:rPr>
        <w:t>除明确具体政策操作细则外，同时明确申报相应政策所需文件资料。具体政策操作细则主要内容如下：</w:t>
      </w:r>
    </w:p>
    <w:p>
      <w:pPr>
        <w:pStyle w:val="7"/>
        <w:widowControl/>
        <w:shd w:val="clear" w:color="auto" w:fill="FFFFFF"/>
        <w:spacing w:beforeAutospacing="0" w:afterAutospacing="0" w:line="560" w:lineRule="exact"/>
        <w:ind w:firstLine="602" w:firstLineChars="200"/>
        <w:rPr>
          <w:rFonts w:hint="eastAsia" w:ascii="仿宋" w:hAnsi="仿宋" w:eastAsia="仿宋" w:cs="仿宋"/>
          <w:sz w:val="30"/>
          <w:szCs w:val="30"/>
        </w:rPr>
      </w:pPr>
      <w:r>
        <w:rPr>
          <w:rFonts w:hint="eastAsia" w:ascii="仿宋" w:hAnsi="仿宋" w:eastAsia="仿宋" w:cs="仿宋_GB2312"/>
          <w:b/>
          <w:bCs/>
          <w:sz w:val="30"/>
          <w:szCs w:val="30"/>
        </w:rPr>
        <w:t>1.第（一）条</w:t>
      </w:r>
      <w:r>
        <w:rPr>
          <w:rFonts w:hint="eastAsia" w:ascii="仿宋" w:hAnsi="仿宋" w:eastAsia="仿宋" w:cs="仿宋"/>
          <w:sz w:val="30"/>
          <w:szCs w:val="30"/>
        </w:rPr>
        <w:t>“支持企业参加展会”：1.对参加区年度重点展会给予展位费100%补助；2.对参加区定推荐类重点展会给予摊位费 25000元/个标准摊位的补助，每个项目补助资金不超过9万元；3.对企业参加其他境外展会的，给予摊位费15000元/个标准摊位的补助，展会在“一带一路”沿线国家和地区的，给予摊位费 18000元/个标准摊位的补助，展会在RCEP成员国家的，给予摊位费20000元/个标准摊位的补助，每个项目不超过5万元。4.企业派人到境外参展的，给予港澳台地区5000元/次人员费奖励，其他境外地区10000元/次人员费奖励。</w:t>
      </w:r>
    </w:p>
    <w:p>
      <w:pPr>
        <w:pStyle w:val="7"/>
        <w:widowControl/>
        <w:shd w:val="clear" w:color="auto" w:fill="FFFFFF"/>
        <w:spacing w:beforeAutospacing="0" w:afterAutospacing="0"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2.第（二）条</w:t>
      </w:r>
      <w:r>
        <w:rPr>
          <w:rFonts w:hint="eastAsia" w:ascii="仿宋" w:hAnsi="仿宋" w:eastAsia="仿宋" w:cs="仿宋"/>
          <w:sz w:val="30"/>
          <w:szCs w:val="30"/>
        </w:rPr>
        <w:t>“支持商协会抱团参展”：对一定规模的抱团参展的项目，按照境内外重点展标准给予摊位费补贴，并补贴50%特装费。</w:t>
      </w:r>
    </w:p>
    <w:p>
      <w:pPr>
        <w:widowControl/>
        <w:spacing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3.第（三）条</w:t>
      </w:r>
      <w:r>
        <w:rPr>
          <w:rFonts w:hint="eastAsia" w:ascii="仿宋" w:hAnsi="仿宋" w:eastAsia="仿宋" w:cs="仿宋"/>
          <w:sz w:val="30"/>
          <w:szCs w:val="30"/>
        </w:rPr>
        <w:t>支持获得海关AEO高级认证。对当年新通过海关AEO高级认证的企业，给予一次性奖励20万元。</w:t>
      </w:r>
    </w:p>
    <w:p>
      <w:pPr>
        <w:spacing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4.第（四）条</w:t>
      </w:r>
      <w:r>
        <w:rPr>
          <w:rFonts w:hint="eastAsia" w:ascii="仿宋" w:hAnsi="仿宋" w:eastAsia="仿宋" w:cs="仿宋"/>
          <w:sz w:val="30"/>
          <w:szCs w:val="30"/>
        </w:rPr>
        <w:t>鼓励外贸企业做大做强。支持企业创新贸易方式，扩大对外贸易，对当年度作出出口贡献的予以鼓励。支持企业充分发挥自身优势，调整和优化产品结构，鼓励机电产品、高新技术产品、农产品出口。支持加工贸易发展，鼓励企业做大加工贸易出口规模。</w:t>
      </w:r>
    </w:p>
    <w:p>
      <w:pPr>
        <w:pStyle w:val="4"/>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5.第（五）条</w:t>
      </w:r>
      <w:r>
        <w:rPr>
          <w:rFonts w:hint="eastAsia" w:ascii="仿宋" w:hAnsi="仿宋" w:eastAsia="仿宋" w:cs="仿宋_GB2312"/>
          <w:sz w:val="30"/>
          <w:szCs w:val="30"/>
        </w:rPr>
        <w:t>支持出口品牌培育。对出口企业创立自主品牌并</w:t>
      </w:r>
      <w:r>
        <w:rPr>
          <w:rFonts w:hint="eastAsia" w:ascii="仿宋" w:hAnsi="仿宋" w:eastAsia="仿宋" w:cs="仿宋_GB2312"/>
          <w:kern w:val="0"/>
          <w:sz w:val="30"/>
          <w:szCs w:val="30"/>
        </w:rPr>
        <w:t>首次获得省级、市级出口名牌的企业，给予一定补助。</w:t>
      </w:r>
    </w:p>
    <w:p>
      <w:pPr>
        <w:pStyle w:val="4"/>
        <w:spacing w:line="560" w:lineRule="exact"/>
        <w:ind w:firstLine="602" w:firstLineChars="200"/>
        <w:rPr>
          <w:rFonts w:ascii="仿宋" w:hAnsi="仿宋" w:eastAsia="仿宋" w:cs="仿宋_GB2312"/>
          <w:kern w:val="0"/>
          <w:sz w:val="30"/>
          <w:szCs w:val="30"/>
        </w:rPr>
      </w:pPr>
      <w:r>
        <w:rPr>
          <w:rFonts w:hint="eastAsia" w:ascii="仿宋" w:hAnsi="仿宋" w:eastAsia="仿宋" w:cs="仿宋_GB2312"/>
          <w:b/>
          <w:bCs/>
          <w:sz w:val="30"/>
          <w:szCs w:val="30"/>
        </w:rPr>
        <w:t>6.第（六）条</w:t>
      </w:r>
      <w:r>
        <w:rPr>
          <w:rFonts w:hint="eastAsia" w:ascii="仿宋" w:hAnsi="仿宋" w:eastAsia="仿宋" w:cs="仿宋_GB2312"/>
          <w:sz w:val="30"/>
          <w:szCs w:val="30"/>
          <w:lang w:eastAsia="zh-CN"/>
        </w:rPr>
        <w:t>支持进口扩量提质</w:t>
      </w:r>
      <w:r>
        <w:rPr>
          <w:rFonts w:hint="eastAsia" w:ascii="仿宋" w:hAnsi="仿宋" w:eastAsia="仿宋" w:cs="仿宋_GB2312"/>
          <w:sz w:val="30"/>
          <w:szCs w:val="30"/>
        </w:rPr>
        <w:t>。对当年自营进口额1000万美元及以上、同比增速不低于全区自营进口平均增速的企业，进行进口额奖励。给予国家和省级进口贴息资助的配套奖励。对当年度获得国家级、省级称号的，分别给予一次性奖励。</w:t>
      </w:r>
    </w:p>
    <w:p>
      <w:pPr>
        <w:pStyle w:val="4"/>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7.第（七）条</w:t>
      </w:r>
      <w:r>
        <w:rPr>
          <w:rFonts w:hint="eastAsia" w:ascii="仿宋" w:hAnsi="仿宋" w:eastAsia="仿宋" w:cs="仿宋_GB2312"/>
          <w:bCs/>
          <w:sz w:val="30"/>
          <w:szCs w:val="30"/>
        </w:rPr>
        <w:t>支持外贸服务平台建设。</w:t>
      </w:r>
      <w:r>
        <w:rPr>
          <w:rFonts w:hint="eastAsia" w:ascii="仿宋" w:hAnsi="仿宋" w:eastAsia="仿宋" w:cs="仿宋_GB2312"/>
          <w:sz w:val="30"/>
          <w:szCs w:val="30"/>
        </w:rPr>
        <w:t>对新获市级、省级及以上称号的外贸综合服务企业，获得上级补助的，给予1:1配套奖励</w:t>
      </w:r>
      <w:r>
        <w:rPr>
          <w:rFonts w:hint="eastAsia" w:ascii="仿宋" w:hAnsi="仿宋" w:eastAsia="仿宋"/>
          <w:sz w:val="30"/>
          <w:szCs w:val="30"/>
        </w:rPr>
        <w:t>鼓励企业设立公共海外仓，除上级扶持资金外，对新获省级及以上称号、市级称号的公用型海外仓，给予一定补助</w:t>
      </w:r>
      <w:r>
        <w:rPr>
          <w:rFonts w:hint="eastAsia" w:ascii="仿宋" w:hAnsi="仿宋" w:eastAsia="仿宋" w:cs="仿宋_GB2312"/>
          <w:sz w:val="30"/>
          <w:szCs w:val="30"/>
        </w:rPr>
        <w:t>。</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 xml:space="preserve">8.第（八）条 </w:t>
      </w:r>
      <w:r>
        <w:rPr>
          <w:rStyle w:val="10"/>
          <w:rFonts w:hint="eastAsia" w:ascii="仿宋" w:hAnsi="仿宋" w:eastAsia="仿宋" w:cs="仿宋_GB2312"/>
          <w:b w:val="0"/>
          <w:sz w:val="30"/>
          <w:szCs w:val="30"/>
        </w:rPr>
        <w:t>支持防范外贸风险。</w:t>
      </w:r>
      <w:r>
        <w:rPr>
          <w:rFonts w:hint="eastAsia" w:ascii="仿宋" w:hAnsi="仿宋" w:eastAsia="仿宋" w:cs="仿宋_GB2312"/>
          <w:sz w:val="30"/>
          <w:szCs w:val="30"/>
        </w:rPr>
        <w:t>对上年度出口额500万美元及以下出口企业，参加政府联保平台出口信用保险的保费，给予全额补助；对自行投保出口信用保险的企业（不限出口额），按实际支付保费的65%给予补助。</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9. 第（九）条</w:t>
      </w:r>
      <w:r>
        <w:rPr>
          <w:rFonts w:hint="eastAsia" w:ascii="仿宋" w:hAnsi="仿宋" w:eastAsia="仿宋" w:cs="仿宋_GB2312"/>
          <w:sz w:val="30"/>
          <w:szCs w:val="30"/>
        </w:rPr>
        <w:t>支持应对贸易摩擦。对参加国外反倾销、反补贴等贸易摩擦有关案件应诉、发起或参与发起对外贸易救济调查案件的企业或商协会，给予一定比例律师费补贴。</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10.第（十）条</w:t>
      </w:r>
      <w:r>
        <w:rPr>
          <w:rStyle w:val="10"/>
          <w:rFonts w:hint="eastAsia" w:ascii="仿宋" w:hAnsi="仿宋" w:eastAsia="仿宋" w:cs="仿宋_GB2312"/>
          <w:b w:val="0"/>
          <w:sz w:val="30"/>
          <w:szCs w:val="30"/>
        </w:rPr>
        <w:t>支持企业开展境外认证。</w:t>
      </w:r>
      <w:r>
        <w:rPr>
          <w:rFonts w:hint="eastAsia" w:ascii="仿宋" w:hAnsi="仿宋" w:eastAsia="仿宋" w:cs="仿宋_GB2312"/>
          <w:sz w:val="30"/>
          <w:szCs w:val="30"/>
        </w:rPr>
        <w:t>对当年度获得各类企业管理体系认证、境外商标注册、境外专利</w:t>
      </w:r>
      <w:r>
        <w:rPr>
          <w:rFonts w:hint="eastAsia" w:ascii="仿宋" w:hAnsi="仿宋" w:eastAsia="仿宋" w:cs="仿宋_GB2312"/>
          <w:sz w:val="30"/>
          <w:szCs w:val="30"/>
          <w:lang w:eastAsia="zh-CN"/>
        </w:rPr>
        <w:t>授权</w:t>
      </w:r>
      <w:r>
        <w:rPr>
          <w:rFonts w:hint="eastAsia" w:ascii="仿宋" w:hAnsi="仿宋" w:eastAsia="仿宋" w:cs="仿宋_GB2312"/>
          <w:sz w:val="30"/>
          <w:szCs w:val="30"/>
        </w:rPr>
        <w:t>的企业，给予核定（认证、注册、</w:t>
      </w:r>
      <w:r>
        <w:rPr>
          <w:rFonts w:hint="eastAsia" w:ascii="仿宋" w:hAnsi="仿宋" w:eastAsia="仿宋" w:cs="仿宋_GB2312"/>
          <w:sz w:val="30"/>
          <w:szCs w:val="30"/>
          <w:lang w:eastAsia="zh-CN"/>
        </w:rPr>
        <w:t>授权</w:t>
      </w:r>
      <w:r>
        <w:rPr>
          <w:rFonts w:hint="eastAsia" w:ascii="仿宋" w:hAnsi="仿宋" w:eastAsia="仿宋" w:cs="仿宋_GB2312"/>
          <w:sz w:val="30"/>
          <w:szCs w:val="30"/>
        </w:rPr>
        <w:t>）费用一定比例的补助。</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11.第（十一）条</w:t>
      </w:r>
      <w:r>
        <w:rPr>
          <w:rFonts w:hint="eastAsia" w:ascii="仿宋" w:hAnsi="仿宋" w:eastAsia="仿宋" w:cs="仿宋_GB2312"/>
          <w:bCs/>
          <w:sz w:val="30"/>
          <w:szCs w:val="30"/>
        </w:rPr>
        <w:t>支持区域品牌宣传</w:t>
      </w:r>
      <w:r>
        <w:rPr>
          <w:rFonts w:hint="eastAsia" w:ascii="仿宋" w:hAnsi="仿宋" w:eastAsia="仿宋" w:cs="仿宋_GB2312"/>
          <w:b/>
          <w:bCs/>
          <w:sz w:val="30"/>
          <w:szCs w:val="30"/>
        </w:rPr>
        <w:t>。</w:t>
      </w:r>
      <w:r>
        <w:rPr>
          <w:rFonts w:hint="eastAsia" w:ascii="仿宋" w:hAnsi="仿宋" w:eastAsia="仿宋" w:cs="仿宋_GB2312"/>
          <w:sz w:val="30"/>
          <w:szCs w:val="30"/>
        </w:rPr>
        <w:t>对参展拓市场的区域品牌宣传推广所涉及的相关费用由区财政全额扶持或结合省切块资金全额扶持，每次不超过人民币60万元。</w:t>
      </w:r>
    </w:p>
    <w:p>
      <w:pPr>
        <w:widowControl/>
        <w:shd w:val="clear" w:color="auto" w:fill="FFFFFF"/>
        <w:autoSpaceDE w:val="0"/>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12.第（十二）条</w:t>
      </w:r>
      <w:r>
        <w:rPr>
          <w:rFonts w:hint="eastAsia" w:ascii="仿宋" w:hAnsi="仿宋" w:eastAsia="仿宋" w:cs="仿宋_GB2312"/>
          <w:sz w:val="30"/>
          <w:szCs w:val="30"/>
        </w:rPr>
        <w:t>支持外贸预警示范点建设。对考核合格（包括初评、复评）的省级预警示范点项目的组织单位进行补助。</w:t>
      </w:r>
    </w:p>
    <w:p>
      <w:pPr>
        <w:widowControl/>
        <w:spacing w:line="560" w:lineRule="exact"/>
        <w:ind w:firstLine="602" w:firstLineChars="200"/>
        <w:rPr>
          <w:rFonts w:hint="eastAsia" w:ascii="仿宋" w:hAnsi="仿宋" w:eastAsia="仿宋" w:cs="仿宋_GB2312"/>
          <w:b/>
          <w:bCs/>
          <w:sz w:val="30"/>
          <w:szCs w:val="30"/>
        </w:rPr>
      </w:pPr>
      <w:r>
        <w:rPr>
          <w:rFonts w:hint="eastAsia" w:ascii="仿宋" w:hAnsi="仿宋" w:eastAsia="仿宋" w:cs="仿宋_GB2312"/>
          <w:b/>
          <w:bCs/>
          <w:sz w:val="30"/>
          <w:szCs w:val="30"/>
        </w:rPr>
        <w:t>13.第（十三）条</w:t>
      </w:r>
      <w:r>
        <w:rPr>
          <w:rFonts w:hint="eastAsia" w:ascii="仿宋" w:hAnsi="仿宋" w:eastAsia="仿宋" w:cs="仿宋_GB2312"/>
          <w:sz w:val="30"/>
          <w:szCs w:val="30"/>
        </w:rPr>
        <w:t>支持外经贸运行监测点建设。对通过省商务厅批准设立的外经贸运行监测点进行补助。</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14.第（十四）条</w:t>
      </w:r>
      <w:r>
        <w:rPr>
          <w:rFonts w:hint="eastAsia" w:ascii="仿宋" w:hAnsi="仿宋" w:eastAsia="仿宋" w:cs="仿宋_GB2312"/>
          <w:bCs/>
          <w:sz w:val="30"/>
          <w:szCs w:val="30"/>
        </w:rPr>
        <w:t>支持引育优质外贸企业</w:t>
      </w:r>
      <w:r>
        <w:rPr>
          <w:rFonts w:hint="eastAsia" w:ascii="仿宋" w:hAnsi="仿宋" w:eastAsia="仿宋" w:cs="仿宋_GB2312"/>
          <w:b/>
          <w:bCs/>
          <w:sz w:val="30"/>
          <w:szCs w:val="30"/>
        </w:rPr>
        <w:t>。</w:t>
      </w:r>
      <w:r>
        <w:rPr>
          <w:rFonts w:hint="eastAsia" w:ascii="仿宋" w:hAnsi="仿宋" w:eastAsia="仿宋" w:cs="仿宋_GB2312"/>
          <w:sz w:val="30"/>
          <w:szCs w:val="30"/>
        </w:rPr>
        <w:t>鼓励工贸一体型企业在我区设立采购总部或进出口公司，</w:t>
      </w:r>
      <w:r>
        <w:rPr>
          <w:rFonts w:ascii="仿宋" w:hAnsi="仿宋" w:eastAsia="仿宋" w:cs="仿宋_GB2312"/>
          <w:sz w:val="30"/>
          <w:szCs w:val="30"/>
        </w:rPr>
        <w:t>对符合我区产业导向的项目，在财政、土地、能耗、排放、金融等方面给予保障。</w:t>
      </w:r>
      <w:r>
        <w:rPr>
          <w:rFonts w:hint="eastAsia" w:ascii="仿宋" w:hAnsi="仿宋" w:eastAsia="仿宋" w:cs="仿宋_GB2312"/>
          <w:sz w:val="30"/>
          <w:szCs w:val="30"/>
        </w:rPr>
        <w:t>支持总部型外贸企业回流进出口业务和订单。</w:t>
      </w:r>
    </w:p>
    <w:p>
      <w:pPr>
        <w:widowControl/>
        <w:spacing w:line="560" w:lineRule="exact"/>
        <w:ind w:firstLine="602" w:firstLineChars="200"/>
        <w:rPr>
          <w:rFonts w:hint="default" w:ascii="仿宋" w:hAnsi="仿宋" w:eastAsia="仿宋" w:cs="仿宋_GB2312"/>
          <w:sz w:val="30"/>
          <w:szCs w:val="30"/>
          <w:highlight w:val="none"/>
          <w:lang w:val="en-US" w:eastAsia="zh-CN"/>
        </w:rPr>
      </w:pPr>
      <w:r>
        <w:rPr>
          <w:rFonts w:hint="eastAsia" w:ascii="仿宋" w:hAnsi="仿宋" w:eastAsia="仿宋" w:cs="仿宋_GB2312"/>
          <w:b/>
          <w:bCs/>
          <w:sz w:val="30"/>
          <w:szCs w:val="30"/>
          <w:highlight w:val="none"/>
          <w:lang w:val="en-US" w:eastAsia="zh-CN"/>
        </w:rPr>
        <w:t>15.</w:t>
      </w:r>
      <w:r>
        <w:rPr>
          <w:rFonts w:hint="eastAsia" w:ascii="仿宋" w:hAnsi="仿宋" w:eastAsia="仿宋" w:cs="仿宋_GB2312"/>
          <w:b/>
          <w:bCs/>
          <w:sz w:val="30"/>
          <w:szCs w:val="30"/>
          <w:highlight w:val="none"/>
        </w:rPr>
        <w:t>第（十五）条</w:t>
      </w:r>
      <w:r>
        <w:rPr>
          <w:rFonts w:hint="eastAsia" w:ascii="仿宋" w:hAnsi="仿宋" w:eastAsia="仿宋" w:cs="仿宋_GB2312"/>
          <w:sz w:val="30"/>
          <w:szCs w:val="30"/>
          <w:highlight w:val="none"/>
        </w:rPr>
        <w:t>支持企业开展离岸服务外包业务。</w:t>
      </w:r>
      <w:r>
        <w:rPr>
          <w:rFonts w:hint="default" w:ascii="仿宋" w:hAnsi="仿宋" w:eastAsia="仿宋" w:cs="仿宋_GB2312"/>
          <w:sz w:val="30"/>
          <w:szCs w:val="30"/>
          <w:highlight w:val="none"/>
        </w:rPr>
        <w:t>对在商务部系统登记注册的服务外包企业，承接服务外包离岸执行额50万美元（含）以上的企业给予奖励。</w:t>
      </w:r>
    </w:p>
    <w:p>
      <w:pPr>
        <w:widowControl/>
        <w:spacing w:line="560" w:lineRule="exact"/>
        <w:ind w:firstLine="602" w:firstLineChars="200"/>
        <w:rPr>
          <w:rFonts w:hint="eastAsia" w:ascii="仿宋" w:hAnsi="仿宋" w:eastAsia="仿宋" w:cs="仿宋_GB2312"/>
          <w:sz w:val="30"/>
          <w:szCs w:val="30"/>
          <w:highlight w:val="none"/>
        </w:rPr>
      </w:pPr>
      <w:r>
        <w:rPr>
          <w:rFonts w:hint="eastAsia" w:ascii="仿宋" w:hAnsi="仿宋" w:eastAsia="仿宋" w:cs="仿宋_GB2312"/>
          <w:b/>
          <w:bCs/>
          <w:sz w:val="30"/>
          <w:szCs w:val="30"/>
          <w:highlight w:val="none"/>
          <w:lang w:val="en-US" w:eastAsia="zh-CN"/>
        </w:rPr>
        <w:t>16.</w:t>
      </w:r>
      <w:r>
        <w:rPr>
          <w:rFonts w:hint="eastAsia" w:ascii="仿宋" w:hAnsi="仿宋" w:eastAsia="仿宋" w:cs="仿宋_GB2312"/>
          <w:b/>
          <w:bCs/>
          <w:sz w:val="30"/>
          <w:szCs w:val="30"/>
          <w:highlight w:val="none"/>
        </w:rPr>
        <w:t>第（十</w:t>
      </w:r>
      <w:r>
        <w:rPr>
          <w:rFonts w:hint="eastAsia" w:ascii="仿宋" w:hAnsi="仿宋" w:eastAsia="仿宋" w:cs="仿宋_GB2312"/>
          <w:b/>
          <w:bCs/>
          <w:sz w:val="30"/>
          <w:szCs w:val="30"/>
          <w:highlight w:val="none"/>
          <w:lang w:val="en-US" w:eastAsia="zh-CN"/>
        </w:rPr>
        <w:t>六</w:t>
      </w:r>
      <w:r>
        <w:rPr>
          <w:rFonts w:hint="eastAsia" w:ascii="仿宋" w:hAnsi="仿宋" w:eastAsia="仿宋" w:cs="仿宋_GB2312"/>
          <w:b/>
          <w:bCs/>
          <w:sz w:val="30"/>
          <w:szCs w:val="30"/>
          <w:highlight w:val="none"/>
        </w:rPr>
        <w:t>）条</w:t>
      </w:r>
      <w:r>
        <w:rPr>
          <w:rFonts w:hint="eastAsia" w:ascii="仿宋" w:hAnsi="仿宋" w:eastAsia="仿宋" w:cs="仿宋_GB2312"/>
          <w:sz w:val="30"/>
          <w:szCs w:val="30"/>
          <w:highlight w:val="none"/>
        </w:rPr>
        <w:t>支持服务贸易发展平台。</w:t>
      </w:r>
      <w:r>
        <w:rPr>
          <w:rFonts w:hint="default" w:ascii="仿宋" w:hAnsi="仿宋" w:eastAsia="仿宋" w:cs="仿宋_GB2312"/>
          <w:sz w:val="30"/>
          <w:szCs w:val="30"/>
          <w:highlight w:val="none"/>
          <w:lang w:val="en-US" w:eastAsia="zh-CN"/>
        </w:rPr>
        <w:t>对首次获批成为国家级、省级以上服务贸易（含数字贸易）类基地、示范区的承载平台，给予</w:t>
      </w:r>
      <w:r>
        <w:rPr>
          <w:rFonts w:hint="default" w:ascii="仿宋" w:hAnsi="仿宋" w:eastAsia="仿宋" w:cs="仿宋_GB2312"/>
          <w:sz w:val="30"/>
          <w:szCs w:val="30"/>
          <w:highlight w:val="none"/>
          <w:lang w:eastAsia="zh-CN"/>
        </w:rPr>
        <w:t>补</w:t>
      </w:r>
      <w:r>
        <w:rPr>
          <w:rFonts w:hint="default" w:ascii="仿宋" w:hAnsi="仿宋" w:eastAsia="仿宋" w:cs="仿宋_GB2312"/>
          <w:sz w:val="30"/>
          <w:szCs w:val="30"/>
          <w:highlight w:val="none"/>
          <w:lang w:val="en-US" w:eastAsia="zh-CN"/>
        </w:rPr>
        <w:t>助。</w:t>
      </w:r>
    </w:p>
    <w:p>
      <w:pPr>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eastAsia="仿宋_GB2312" w:cs="仿宋_GB2312"/>
          <w:b w:val="0"/>
          <w:bCs/>
          <w:color w:val="auto"/>
          <w:kern w:val="2"/>
          <w:sz w:val="32"/>
          <w:szCs w:val="32"/>
          <w:highlight w:val="none"/>
        </w:rPr>
      </w:pPr>
      <w:r>
        <w:rPr>
          <w:rStyle w:val="18"/>
          <w:rFonts w:hint="eastAsia" w:ascii="仿宋_GB2312" w:eastAsia="仿宋_GB2312" w:cs="仿宋_GB2312"/>
          <w:b/>
          <w:bCs w:val="0"/>
          <w:color w:val="auto"/>
          <w:kern w:val="0"/>
          <w:sz w:val="32"/>
          <w:szCs w:val="32"/>
          <w:highlight w:val="none"/>
          <w:lang w:val="en-US" w:eastAsia="zh-CN" w:bidi="ar"/>
        </w:rPr>
        <w:t>17.第</w:t>
      </w:r>
      <w:r>
        <w:rPr>
          <w:rStyle w:val="18"/>
          <w:rFonts w:hint="default" w:ascii="仿宋_GB2312" w:eastAsia="仿宋_GB2312" w:cs="仿宋_GB2312"/>
          <w:b/>
          <w:bCs w:val="0"/>
          <w:color w:val="auto"/>
          <w:kern w:val="0"/>
          <w:sz w:val="32"/>
          <w:szCs w:val="32"/>
          <w:highlight w:val="none"/>
          <w:lang w:val="en-US" w:eastAsia="zh-CN" w:bidi="ar"/>
        </w:rPr>
        <w:t>（</w:t>
      </w:r>
      <w:r>
        <w:rPr>
          <w:rStyle w:val="18"/>
          <w:rFonts w:hint="default" w:ascii="仿宋_GB2312" w:eastAsia="仿宋_GB2312" w:cs="仿宋_GB2312"/>
          <w:b/>
          <w:bCs w:val="0"/>
          <w:color w:val="auto"/>
          <w:kern w:val="0"/>
          <w:sz w:val="32"/>
          <w:szCs w:val="32"/>
          <w:highlight w:val="none"/>
          <w:lang w:eastAsia="zh-CN" w:bidi="ar"/>
        </w:rPr>
        <w:t>十</w:t>
      </w:r>
      <w:r>
        <w:rPr>
          <w:rStyle w:val="18"/>
          <w:rFonts w:hint="eastAsia" w:ascii="仿宋_GB2312" w:eastAsia="仿宋_GB2312" w:cs="仿宋_GB2312"/>
          <w:b/>
          <w:bCs w:val="0"/>
          <w:color w:val="auto"/>
          <w:kern w:val="0"/>
          <w:sz w:val="32"/>
          <w:szCs w:val="32"/>
          <w:highlight w:val="none"/>
          <w:lang w:eastAsia="zh-CN" w:bidi="ar"/>
        </w:rPr>
        <w:t>七</w:t>
      </w:r>
      <w:r>
        <w:rPr>
          <w:rStyle w:val="18"/>
          <w:rFonts w:hint="default" w:ascii="仿宋_GB2312" w:eastAsia="仿宋_GB2312" w:cs="仿宋_GB2312"/>
          <w:b/>
          <w:bCs w:val="0"/>
          <w:color w:val="auto"/>
          <w:kern w:val="0"/>
          <w:sz w:val="32"/>
          <w:szCs w:val="32"/>
          <w:highlight w:val="none"/>
          <w:lang w:val="en-US" w:eastAsia="zh-CN" w:bidi="ar"/>
        </w:rPr>
        <w:t>）</w:t>
      </w:r>
      <w:r>
        <w:rPr>
          <w:rStyle w:val="18"/>
          <w:rFonts w:hint="eastAsia" w:ascii="仿宋_GB2312" w:eastAsia="仿宋_GB2312" w:cs="仿宋_GB2312"/>
          <w:b/>
          <w:bCs w:val="0"/>
          <w:color w:val="auto"/>
          <w:kern w:val="0"/>
          <w:sz w:val="32"/>
          <w:szCs w:val="32"/>
          <w:highlight w:val="none"/>
          <w:lang w:val="en-US" w:eastAsia="zh-CN" w:bidi="ar"/>
        </w:rPr>
        <w:t>条</w:t>
      </w:r>
      <w:r>
        <w:rPr>
          <w:rStyle w:val="18"/>
          <w:rFonts w:hint="default" w:ascii="仿宋_GB2312" w:eastAsia="仿宋_GB2312" w:cs="仿宋_GB2312"/>
          <w:b w:val="0"/>
          <w:bCs/>
          <w:color w:val="auto"/>
          <w:kern w:val="0"/>
          <w:sz w:val="32"/>
          <w:szCs w:val="32"/>
          <w:highlight w:val="none"/>
          <w:lang w:val="en-US" w:eastAsia="zh-CN" w:bidi="ar"/>
        </w:rPr>
        <w:t>支持企业开展跨境电子商务业务。</w:t>
      </w:r>
      <w:r>
        <w:rPr>
          <w:rStyle w:val="18"/>
          <w:rFonts w:hint="eastAsia" w:ascii="仿宋_GB2312" w:eastAsia="仿宋_GB2312" w:cs="仿宋_GB2312"/>
          <w:b w:val="0"/>
          <w:bCs/>
          <w:color w:val="auto"/>
          <w:kern w:val="0"/>
          <w:sz w:val="32"/>
          <w:szCs w:val="32"/>
          <w:highlight w:val="none"/>
          <w:lang w:val="en-US" w:eastAsia="zh-CN" w:bidi="ar"/>
        </w:rPr>
        <w:t>1.对</w:t>
      </w:r>
      <w:r>
        <w:rPr>
          <w:rStyle w:val="18"/>
          <w:rFonts w:hint="default" w:ascii="仿宋_GB2312" w:eastAsia="仿宋_GB2312" w:cs="仿宋_GB2312"/>
          <w:b w:val="0"/>
          <w:bCs/>
          <w:color w:val="auto"/>
          <w:kern w:val="0"/>
          <w:sz w:val="32"/>
          <w:szCs w:val="32"/>
          <w:highlight w:val="none"/>
          <w:lang w:val="en-US" w:eastAsia="zh-CN" w:bidi="ar"/>
        </w:rPr>
        <w:t>当年新开跨境电子商务B2C店铺</w:t>
      </w:r>
      <w:r>
        <w:rPr>
          <w:rStyle w:val="18"/>
          <w:rFonts w:hint="eastAsia" w:ascii="仿宋_GB2312" w:eastAsia="仿宋_GB2312" w:cs="仿宋_GB2312"/>
          <w:b w:val="0"/>
          <w:bCs/>
          <w:color w:val="auto"/>
          <w:kern w:val="0"/>
          <w:sz w:val="32"/>
          <w:szCs w:val="32"/>
          <w:highlight w:val="none"/>
          <w:lang w:val="en-US" w:eastAsia="zh-CN" w:bidi="ar"/>
        </w:rPr>
        <w:t>或</w:t>
      </w:r>
      <w:r>
        <w:rPr>
          <w:rFonts w:hint="default" w:ascii="仿宋_GB2312" w:hAnsi="Calibri" w:eastAsia="仿宋_GB2312" w:cs="仿宋_GB2312"/>
          <w:b w:val="0"/>
          <w:bCs/>
          <w:color w:val="auto"/>
          <w:kern w:val="2"/>
          <w:sz w:val="32"/>
          <w:szCs w:val="32"/>
          <w:highlight w:val="none"/>
          <w:lang w:val="en-US" w:eastAsia="zh-CN" w:bidi="ar"/>
        </w:rPr>
        <w:t>B2B店铺</w:t>
      </w:r>
      <w:r>
        <w:rPr>
          <w:rFonts w:hint="eastAsia" w:ascii="仿宋_GB2312" w:eastAsia="仿宋_GB2312" w:cs="仿宋_GB2312"/>
          <w:b w:val="0"/>
          <w:bCs/>
          <w:color w:val="auto"/>
          <w:kern w:val="2"/>
          <w:sz w:val="32"/>
          <w:szCs w:val="32"/>
          <w:highlight w:val="none"/>
          <w:lang w:val="en-US" w:eastAsia="zh-CN" w:bidi="ar"/>
        </w:rPr>
        <w:t>且有</w:t>
      </w:r>
      <w:r>
        <w:rPr>
          <w:rFonts w:hint="default" w:ascii="仿宋_GB2312" w:hAnsi="Calibri" w:eastAsia="仿宋_GB2312" w:cs="仿宋_GB2312"/>
          <w:b w:val="0"/>
          <w:bCs/>
          <w:color w:val="auto"/>
          <w:kern w:val="2"/>
          <w:sz w:val="32"/>
          <w:szCs w:val="32"/>
          <w:highlight w:val="none"/>
          <w:lang w:val="en-US" w:eastAsia="zh-CN" w:bidi="ar"/>
        </w:rPr>
        <w:t>跨境电商监管方式出口实绩的，给予每家企业1万元的一次性资金奖励。</w:t>
      </w:r>
      <w:r>
        <w:rPr>
          <w:rFonts w:hint="eastAsia" w:ascii="仿宋_GB2312" w:eastAsia="仿宋_GB2312" w:cs="仿宋_GB2312"/>
          <w:b w:val="0"/>
          <w:bCs/>
          <w:color w:val="auto"/>
          <w:kern w:val="2"/>
          <w:sz w:val="32"/>
          <w:szCs w:val="32"/>
          <w:highlight w:val="none"/>
          <w:lang w:val="en-US" w:eastAsia="zh-CN" w:bidi="ar"/>
        </w:rPr>
        <w:t>2.</w:t>
      </w:r>
      <w:r>
        <w:rPr>
          <w:rFonts w:hint="default" w:ascii="仿宋_GB2312" w:hAnsi="Calibri" w:eastAsia="仿宋_GB2312" w:cs="仿宋_GB2312"/>
          <w:b w:val="0"/>
          <w:bCs/>
          <w:color w:val="auto"/>
          <w:kern w:val="2"/>
          <w:sz w:val="32"/>
          <w:szCs w:val="32"/>
          <w:highlight w:val="none"/>
          <w:lang w:val="en-US" w:eastAsia="zh-CN" w:bidi="ar"/>
        </w:rPr>
        <w:t>对当年有跨境电商监管方式出口实绩的企业，给予</w:t>
      </w:r>
      <w:r>
        <w:rPr>
          <w:rFonts w:hint="eastAsia" w:ascii="仿宋_GB2312" w:eastAsia="仿宋_GB2312" w:cs="仿宋_GB2312"/>
          <w:b w:val="0"/>
          <w:bCs/>
          <w:color w:val="auto"/>
          <w:kern w:val="2"/>
          <w:sz w:val="32"/>
          <w:szCs w:val="32"/>
          <w:highlight w:val="none"/>
          <w:lang w:val="en-US" w:eastAsia="zh-CN" w:bidi="ar"/>
        </w:rPr>
        <w:t>独立站</w:t>
      </w:r>
      <w:r>
        <w:rPr>
          <w:rFonts w:hint="default" w:ascii="仿宋_GB2312" w:hAnsi="Calibri" w:eastAsia="仿宋_GB2312" w:cs="仿宋_GB2312"/>
          <w:b w:val="0"/>
          <w:bCs/>
          <w:color w:val="auto"/>
          <w:kern w:val="2"/>
          <w:sz w:val="32"/>
          <w:szCs w:val="32"/>
          <w:highlight w:val="none"/>
          <w:lang w:val="en-US" w:eastAsia="zh-CN" w:bidi="ar"/>
        </w:rPr>
        <w:t>建站、推广费用</w:t>
      </w:r>
      <w:r>
        <w:rPr>
          <w:rFonts w:hint="eastAsia" w:ascii="仿宋_GB2312" w:hAnsi="Calibri" w:eastAsia="仿宋_GB2312" w:cs="仿宋_GB2312"/>
          <w:b w:val="0"/>
          <w:bCs/>
          <w:color w:val="auto"/>
          <w:kern w:val="2"/>
          <w:sz w:val="32"/>
          <w:szCs w:val="32"/>
          <w:highlight w:val="none"/>
          <w:lang w:val="en-US" w:eastAsia="zh-CN" w:bidi="ar"/>
        </w:rPr>
        <w:t>25</w:t>
      </w:r>
      <w:r>
        <w:rPr>
          <w:rFonts w:hint="default" w:ascii="仿宋_GB2312" w:hAnsi="Calibri" w:eastAsia="仿宋_GB2312" w:cs="仿宋_GB2312"/>
          <w:b w:val="0"/>
          <w:bCs/>
          <w:color w:val="auto"/>
          <w:kern w:val="2"/>
          <w:sz w:val="32"/>
          <w:szCs w:val="32"/>
          <w:highlight w:val="none"/>
          <w:lang w:val="en-US" w:eastAsia="zh-CN" w:bidi="ar"/>
        </w:rPr>
        <w:t>%的资金补助，每个企业最高不超过</w:t>
      </w:r>
      <w:r>
        <w:rPr>
          <w:rFonts w:hint="eastAsia" w:ascii="仿宋_GB2312" w:hAnsi="Calibri" w:eastAsia="仿宋_GB2312" w:cs="仿宋_GB2312"/>
          <w:b w:val="0"/>
          <w:bCs/>
          <w:color w:val="auto"/>
          <w:kern w:val="2"/>
          <w:sz w:val="32"/>
          <w:szCs w:val="32"/>
          <w:highlight w:val="none"/>
          <w:lang w:val="en-US" w:eastAsia="zh-CN" w:bidi="ar"/>
        </w:rPr>
        <w:t>5</w:t>
      </w:r>
      <w:r>
        <w:rPr>
          <w:rFonts w:hint="default" w:ascii="仿宋_GB2312" w:hAnsi="Calibri" w:eastAsia="仿宋_GB2312" w:cs="仿宋_GB2312"/>
          <w:b w:val="0"/>
          <w:bCs/>
          <w:color w:val="auto"/>
          <w:kern w:val="2"/>
          <w:sz w:val="32"/>
          <w:szCs w:val="32"/>
          <w:highlight w:val="none"/>
          <w:lang w:val="en-US" w:eastAsia="zh-CN" w:bidi="ar"/>
        </w:rPr>
        <w:t>万元。</w:t>
      </w:r>
      <w:r>
        <w:rPr>
          <w:rFonts w:hint="eastAsia" w:ascii="仿宋_GB2312" w:eastAsia="仿宋_GB2312" w:cs="仿宋_GB2312"/>
          <w:b w:val="0"/>
          <w:bCs/>
          <w:color w:val="auto"/>
          <w:kern w:val="2"/>
          <w:sz w:val="32"/>
          <w:szCs w:val="32"/>
          <w:highlight w:val="none"/>
          <w:lang w:val="en-US" w:eastAsia="zh-CN" w:bidi="ar"/>
        </w:rPr>
        <w:t>3.</w:t>
      </w:r>
      <w:r>
        <w:rPr>
          <w:rFonts w:hint="default" w:ascii="仿宋_GB2312" w:hAnsi="Calibri" w:eastAsia="仿宋_GB2312" w:cs="仿宋_GB2312"/>
          <w:b w:val="0"/>
          <w:bCs/>
          <w:color w:val="auto"/>
          <w:kern w:val="2"/>
          <w:sz w:val="32"/>
          <w:szCs w:val="32"/>
          <w:highlight w:val="none"/>
          <w:lang w:val="en-US" w:eastAsia="zh-CN" w:bidi="ar"/>
        </w:rPr>
        <w:t>对当年有跨境电商监管方式出口实绩的企业，给予</w:t>
      </w:r>
      <w:r>
        <w:rPr>
          <w:rFonts w:hint="eastAsia" w:ascii="仿宋_GB2312" w:eastAsia="仿宋_GB2312" w:cs="仿宋_GB2312"/>
          <w:b w:val="0"/>
          <w:bCs/>
          <w:color w:val="auto"/>
          <w:kern w:val="2"/>
          <w:sz w:val="32"/>
          <w:szCs w:val="32"/>
          <w:highlight w:val="none"/>
          <w:lang w:val="en-US" w:eastAsia="zh-CN" w:bidi="ar"/>
        </w:rPr>
        <w:t>第三方跨境电商</w:t>
      </w:r>
      <w:r>
        <w:rPr>
          <w:rFonts w:hint="default" w:ascii="仿宋_GB2312" w:hAnsi="Calibri" w:eastAsia="仿宋_GB2312" w:cs="仿宋_GB2312"/>
          <w:b w:val="0"/>
          <w:bCs/>
          <w:color w:val="auto"/>
          <w:kern w:val="2"/>
          <w:sz w:val="32"/>
          <w:szCs w:val="32"/>
          <w:highlight w:val="none"/>
          <w:lang w:val="en-US" w:eastAsia="zh-CN" w:bidi="ar"/>
        </w:rPr>
        <w:t>平台所产生的推广费用总和</w:t>
      </w:r>
      <w:r>
        <w:rPr>
          <w:rFonts w:hint="eastAsia" w:ascii="仿宋_GB2312" w:hAnsi="Calibri" w:eastAsia="仿宋_GB2312" w:cs="仿宋_GB2312"/>
          <w:b w:val="0"/>
          <w:bCs/>
          <w:color w:val="auto"/>
          <w:kern w:val="2"/>
          <w:sz w:val="32"/>
          <w:szCs w:val="32"/>
          <w:highlight w:val="none"/>
          <w:lang w:val="en-US" w:eastAsia="zh-CN" w:bidi="ar"/>
        </w:rPr>
        <w:t>25</w:t>
      </w:r>
      <w:r>
        <w:rPr>
          <w:rFonts w:hint="default" w:ascii="仿宋_GB2312" w:hAnsi="Calibri" w:eastAsia="仿宋_GB2312" w:cs="仿宋_GB2312"/>
          <w:b w:val="0"/>
          <w:bCs/>
          <w:color w:val="auto"/>
          <w:kern w:val="2"/>
          <w:sz w:val="32"/>
          <w:szCs w:val="32"/>
          <w:highlight w:val="none"/>
          <w:lang w:val="en-US" w:eastAsia="zh-CN" w:bidi="ar"/>
        </w:rPr>
        <w:t>%的资金补助，单个企业补助金额不超过</w:t>
      </w:r>
      <w:r>
        <w:rPr>
          <w:rFonts w:hint="eastAsia" w:ascii="仿宋_GB2312" w:hAnsi="Calibri" w:eastAsia="仿宋_GB2312" w:cs="仿宋_GB2312"/>
          <w:b w:val="0"/>
          <w:bCs/>
          <w:color w:val="auto"/>
          <w:kern w:val="2"/>
          <w:sz w:val="32"/>
          <w:szCs w:val="32"/>
          <w:highlight w:val="none"/>
          <w:lang w:val="en-US" w:eastAsia="zh-CN" w:bidi="ar"/>
        </w:rPr>
        <w:t>5</w:t>
      </w:r>
      <w:r>
        <w:rPr>
          <w:rFonts w:hint="default" w:ascii="仿宋_GB2312" w:hAnsi="Calibri" w:eastAsia="仿宋_GB2312" w:cs="仿宋_GB2312"/>
          <w:b w:val="0"/>
          <w:bCs/>
          <w:color w:val="auto"/>
          <w:kern w:val="2"/>
          <w:sz w:val="32"/>
          <w:szCs w:val="32"/>
          <w:highlight w:val="none"/>
          <w:lang w:val="en-US" w:eastAsia="zh-CN" w:bidi="ar"/>
        </w:rPr>
        <w:t>万元。</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eastAsia="仿宋_GB2312" w:cs="仿宋_GB2312"/>
          <w:color w:val="auto"/>
          <w:kern w:val="2"/>
          <w:sz w:val="32"/>
          <w:szCs w:val="32"/>
          <w:highlight w:val="none"/>
        </w:rPr>
      </w:pPr>
      <w:r>
        <w:rPr>
          <w:rFonts w:hint="eastAsia" w:ascii="仿宋_GB2312" w:eastAsia="仿宋_GB2312" w:cs="仿宋_GB2312"/>
          <w:b/>
          <w:color w:val="auto"/>
          <w:kern w:val="2"/>
          <w:sz w:val="32"/>
          <w:szCs w:val="32"/>
          <w:highlight w:val="none"/>
          <w:lang w:val="en-US" w:eastAsia="zh-CN" w:bidi="ar"/>
        </w:rPr>
        <w:t>18.第</w:t>
      </w:r>
      <w:r>
        <w:rPr>
          <w:rFonts w:hint="default" w:ascii="仿宋_GB2312" w:hAnsi="Calibri" w:eastAsia="仿宋_GB2312" w:cs="仿宋_GB2312"/>
          <w:b/>
          <w:color w:val="auto"/>
          <w:kern w:val="2"/>
          <w:sz w:val="32"/>
          <w:szCs w:val="32"/>
          <w:highlight w:val="none"/>
          <w:lang w:val="en-US" w:eastAsia="zh-CN" w:bidi="ar"/>
        </w:rPr>
        <w:t>（</w:t>
      </w:r>
      <w:r>
        <w:rPr>
          <w:rFonts w:hint="default" w:ascii="仿宋_GB2312" w:eastAsia="仿宋_GB2312" w:cs="仿宋_GB2312"/>
          <w:b/>
          <w:color w:val="auto"/>
          <w:kern w:val="2"/>
          <w:sz w:val="32"/>
          <w:szCs w:val="32"/>
          <w:highlight w:val="none"/>
          <w:lang w:eastAsia="zh-CN" w:bidi="ar"/>
        </w:rPr>
        <w:t>十</w:t>
      </w:r>
      <w:r>
        <w:rPr>
          <w:rFonts w:hint="eastAsia" w:ascii="仿宋_GB2312" w:eastAsia="仿宋_GB2312" w:cs="仿宋_GB2312"/>
          <w:b/>
          <w:color w:val="auto"/>
          <w:kern w:val="2"/>
          <w:sz w:val="32"/>
          <w:szCs w:val="32"/>
          <w:highlight w:val="none"/>
          <w:lang w:eastAsia="zh-CN" w:bidi="ar"/>
        </w:rPr>
        <w:t>八</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val="en-US" w:eastAsia="zh-CN" w:bidi="ar"/>
        </w:rPr>
        <w:t>条</w:t>
      </w:r>
      <w:r>
        <w:rPr>
          <w:rFonts w:hint="default" w:ascii="仿宋_GB2312" w:hAnsi="Calibri" w:eastAsia="仿宋_GB2312" w:cs="仿宋_GB2312"/>
          <w:b w:val="0"/>
          <w:bCs/>
          <w:color w:val="auto"/>
          <w:kern w:val="2"/>
          <w:sz w:val="32"/>
          <w:szCs w:val="32"/>
          <w:highlight w:val="none"/>
          <w:lang w:val="en-US" w:eastAsia="zh-CN" w:bidi="ar"/>
        </w:rPr>
        <w:t>支持建设跨境电子商务产业园。</w:t>
      </w:r>
      <w:r>
        <w:rPr>
          <w:rFonts w:hint="default" w:ascii="仿宋_GB2312" w:hAnsi="Calibri" w:eastAsia="仿宋_GB2312" w:cs="仿宋_GB2312"/>
          <w:color w:val="auto"/>
          <w:kern w:val="2"/>
          <w:sz w:val="32"/>
          <w:szCs w:val="32"/>
          <w:highlight w:val="none"/>
          <w:lang w:val="en-US" w:eastAsia="zh-CN" w:bidi="ar"/>
        </w:rPr>
        <w:t>对在跨境电子商务综试区线上综合服务平台注册备案并有线上交易实绩的跨境电子商务企业入驻数量达到15家、30家、45家以上，且年跨境电商出口额达到800万美元、1500万美元、3000万美元以上的园区，给予园区运营方20万元、50万元、80万元的一次性资金奖励。</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eastAsia="仿宋_GB2312" w:cs="仿宋_GB2312"/>
          <w:color w:val="auto"/>
          <w:kern w:val="2"/>
          <w:sz w:val="32"/>
          <w:szCs w:val="32"/>
          <w:highlight w:val="none"/>
        </w:rPr>
      </w:pPr>
      <w:r>
        <w:rPr>
          <w:rFonts w:hint="eastAsia" w:ascii="仿宋_GB2312" w:eastAsia="仿宋_GB2312" w:cs="仿宋_GB2312"/>
          <w:b/>
          <w:color w:val="auto"/>
          <w:kern w:val="2"/>
          <w:sz w:val="32"/>
          <w:szCs w:val="32"/>
          <w:highlight w:val="none"/>
          <w:lang w:val="en-US" w:eastAsia="zh-CN" w:bidi="ar"/>
        </w:rPr>
        <w:t>19.第</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hAnsi="Calibri" w:eastAsia="仿宋_GB2312" w:cs="仿宋_GB2312"/>
          <w:b/>
          <w:color w:val="auto"/>
          <w:kern w:val="2"/>
          <w:sz w:val="32"/>
          <w:szCs w:val="32"/>
          <w:highlight w:val="none"/>
          <w:lang w:val="en-US" w:eastAsia="zh-CN" w:bidi="ar"/>
        </w:rPr>
        <w:t>十九</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val="en-US" w:eastAsia="zh-CN" w:bidi="ar"/>
        </w:rPr>
        <w:t>条</w:t>
      </w:r>
      <w:r>
        <w:rPr>
          <w:rFonts w:hint="default" w:ascii="仿宋_GB2312" w:hAnsi="Calibri" w:eastAsia="仿宋_GB2312" w:cs="仿宋_GB2312"/>
          <w:b w:val="0"/>
          <w:bCs/>
          <w:color w:val="auto"/>
          <w:kern w:val="2"/>
          <w:sz w:val="32"/>
          <w:szCs w:val="32"/>
          <w:highlight w:val="none"/>
          <w:lang w:val="en-US" w:eastAsia="zh-CN" w:bidi="ar"/>
        </w:rPr>
        <w:t>支持企业扩大跨境电子商务出口。</w:t>
      </w:r>
      <w:r>
        <w:rPr>
          <w:rFonts w:hint="default" w:ascii="仿宋_GB2312" w:hAnsi="Calibri" w:eastAsia="仿宋_GB2312" w:cs="仿宋_GB2312"/>
          <w:color w:val="auto"/>
          <w:kern w:val="2"/>
          <w:sz w:val="32"/>
          <w:szCs w:val="32"/>
          <w:highlight w:val="none"/>
          <w:lang w:val="en-US" w:eastAsia="zh-CN" w:bidi="ar"/>
        </w:rPr>
        <w:t>对跨境电子商务综合试验区线上综合服务平台注册备案，且年度跨境电商出口额首次达100万美元、300万美元、500万美元、1000万美元、3000万美元的企业，分别一次性给予4万元、12万元、20万元、40万元、100万元的资金补助。</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eastAsia="仿宋_GB2312" w:cs="仿宋_GB2312"/>
          <w:color w:val="auto"/>
          <w:kern w:val="2"/>
          <w:sz w:val="32"/>
          <w:szCs w:val="32"/>
          <w:highlight w:val="none"/>
        </w:rPr>
      </w:pPr>
      <w:r>
        <w:rPr>
          <w:rFonts w:hint="eastAsia" w:ascii="仿宋_GB2312" w:eastAsia="仿宋_GB2312" w:cs="仿宋_GB2312"/>
          <w:b/>
          <w:color w:val="auto"/>
          <w:kern w:val="2"/>
          <w:sz w:val="32"/>
          <w:szCs w:val="32"/>
          <w:highlight w:val="none"/>
          <w:lang w:val="en-US" w:eastAsia="zh-CN" w:bidi="ar"/>
        </w:rPr>
        <w:t>20.第</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eastAsia="zh-CN" w:bidi="ar"/>
        </w:rPr>
        <w:t>二十</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val="en-US" w:eastAsia="zh-CN" w:bidi="ar"/>
        </w:rPr>
        <w:t>条</w:t>
      </w:r>
      <w:r>
        <w:rPr>
          <w:rFonts w:hint="default" w:ascii="仿宋_GB2312" w:hAnsi="Calibri" w:eastAsia="仿宋_GB2312" w:cs="仿宋_GB2312"/>
          <w:b w:val="0"/>
          <w:bCs/>
          <w:color w:val="auto"/>
          <w:kern w:val="2"/>
          <w:sz w:val="32"/>
          <w:szCs w:val="32"/>
          <w:highlight w:val="none"/>
          <w:lang w:val="en-US" w:eastAsia="zh-CN" w:bidi="ar"/>
        </w:rPr>
        <w:t>支持高等院校开展跨境电子商务专业教育。</w:t>
      </w:r>
      <w:r>
        <w:rPr>
          <w:rFonts w:hint="default" w:ascii="仿宋_GB2312" w:hAnsi="Calibri" w:eastAsia="仿宋_GB2312" w:cs="仿宋_GB2312"/>
          <w:color w:val="auto"/>
          <w:kern w:val="2"/>
          <w:sz w:val="32"/>
          <w:szCs w:val="32"/>
          <w:highlight w:val="none"/>
          <w:lang w:val="en-US" w:eastAsia="zh-CN" w:bidi="ar"/>
        </w:rPr>
        <w:t>对经教育部门批准新设置跨境电子商务专业（方向）并纳入高等院校统一招生计划且每年招生人数不低于30人的在虞高校，给予资金扶持30万元。新设立的符合条件的实体跨境电子商务学院（分院）且在院（分院）人数不少于800人的在虞高校，给予资金扶持80万元。</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eastAsia="仿宋_GB2312" w:cs="仿宋_GB2312"/>
          <w:color w:val="auto"/>
          <w:kern w:val="2"/>
          <w:sz w:val="32"/>
          <w:szCs w:val="32"/>
          <w:highlight w:val="none"/>
        </w:rPr>
      </w:pPr>
      <w:r>
        <w:rPr>
          <w:rFonts w:hint="eastAsia" w:ascii="仿宋_GB2312" w:eastAsia="仿宋_GB2312" w:cs="仿宋_GB2312"/>
          <w:b/>
          <w:color w:val="auto"/>
          <w:kern w:val="2"/>
          <w:sz w:val="32"/>
          <w:szCs w:val="32"/>
          <w:highlight w:val="none"/>
          <w:lang w:val="en-US" w:eastAsia="zh-CN" w:bidi="ar"/>
        </w:rPr>
        <w:t>21.第</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eastAsia="zh-CN" w:bidi="ar"/>
        </w:rPr>
        <w:t>二十一</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val="en-US" w:eastAsia="zh-CN" w:bidi="ar"/>
        </w:rPr>
        <w:t>条</w:t>
      </w:r>
      <w:r>
        <w:rPr>
          <w:rFonts w:hint="default" w:ascii="仿宋_GB2312" w:hAnsi="Calibri" w:eastAsia="仿宋_GB2312" w:cs="仿宋_GB2312"/>
          <w:b w:val="0"/>
          <w:bCs/>
          <w:color w:val="auto"/>
          <w:kern w:val="2"/>
          <w:sz w:val="32"/>
          <w:szCs w:val="32"/>
          <w:highlight w:val="none"/>
          <w:lang w:val="en-US" w:eastAsia="zh-CN" w:bidi="ar"/>
        </w:rPr>
        <w:t>鼓励企业开展跨境电子商务培训。</w:t>
      </w:r>
      <w:r>
        <w:rPr>
          <w:rFonts w:hint="default" w:ascii="仿宋_GB2312" w:hAnsi="Calibri" w:eastAsia="仿宋_GB2312" w:cs="仿宋_GB2312"/>
          <w:color w:val="auto"/>
          <w:kern w:val="2"/>
          <w:sz w:val="32"/>
          <w:szCs w:val="32"/>
          <w:highlight w:val="none"/>
          <w:lang w:val="en-US" w:eastAsia="zh-CN" w:bidi="ar"/>
        </w:rPr>
        <w:t>对组织职工进修跨境电商类培训的本地企业，按培训机构收取费用的50%给予补助，每家企业最高不超过3万元。</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eastAsia="仿宋_GB2312" w:cs="仿宋_GB2312"/>
          <w:color w:val="auto"/>
          <w:kern w:val="2"/>
          <w:sz w:val="32"/>
          <w:szCs w:val="32"/>
          <w:highlight w:val="none"/>
        </w:rPr>
      </w:pPr>
      <w:r>
        <w:rPr>
          <w:rFonts w:hint="eastAsia" w:ascii="仿宋_GB2312" w:eastAsia="仿宋_GB2312" w:cs="仿宋_GB2312"/>
          <w:b/>
          <w:color w:val="auto"/>
          <w:kern w:val="2"/>
          <w:sz w:val="32"/>
          <w:szCs w:val="32"/>
          <w:highlight w:val="none"/>
          <w:lang w:val="en-US" w:eastAsia="zh-CN" w:bidi="ar"/>
        </w:rPr>
        <w:t>22.第</w:t>
      </w:r>
      <w:r>
        <w:rPr>
          <w:rFonts w:hint="default" w:ascii="仿宋_GB2312" w:hAnsi="Calibri" w:eastAsia="仿宋_GB2312" w:cs="仿宋_GB2312"/>
          <w:b/>
          <w:color w:val="auto"/>
          <w:kern w:val="2"/>
          <w:sz w:val="32"/>
          <w:szCs w:val="32"/>
          <w:highlight w:val="none"/>
          <w:lang w:val="en-US" w:eastAsia="zh-CN" w:bidi="ar"/>
        </w:rPr>
        <w:t>（二十</w:t>
      </w:r>
      <w:r>
        <w:rPr>
          <w:rFonts w:hint="eastAsia" w:ascii="仿宋_GB2312" w:eastAsia="仿宋_GB2312" w:cs="仿宋_GB2312"/>
          <w:b/>
          <w:color w:val="auto"/>
          <w:kern w:val="2"/>
          <w:sz w:val="32"/>
          <w:szCs w:val="32"/>
          <w:highlight w:val="none"/>
          <w:lang w:eastAsia="zh-CN" w:bidi="ar"/>
        </w:rPr>
        <w:t>二</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val="en-US" w:eastAsia="zh-CN" w:bidi="ar"/>
        </w:rPr>
        <w:t>条</w:t>
      </w:r>
      <w:r>
        <w:rPr>
          <w:rFonts w:hint="default" w:ascii="仿宋_GB2312" w:hAnsi="Calibri" w:eastAsia="仿宋_GB2312" w:cs="仿宋_GB2312"/>
          <w:b w:val="0"/>
          <w:bCs/>
          <w:color w:val="auto"/>
          <w:kern w:val="2"/>
          <w:sz w:val="32"/>
          <w:szCs w:val="32"/>
          <w:highlight w:val="none"/>
          <w:lang w:val="en-US" w:eastAsia="zh-CN" w:bidi="ar"/>
        </w:rPr>
        <w:t>鼓励跨境电子商务示范创建。</w:t>
      </w:r>
      <w:r>
        <w:rPr>
          <w:rFonts w:hint="default" w:ascii="仿宋_GB2312" w:hAnsi="Calibri" w:eastAsia="仿宋_GB2312" w:cs="仿宋_GB2312"/>
          <w:color w:val="auto"/>
          <w:kern w:val="2"/>
          <w:sz w:val="32"/>
          <w:szCs w:val="32"/>
          <w:highlight w:val="none"/>
          <w:lang w:val="en-US" w:eastAsia="zh-CN" w:bidi="ar"/>
        </w:rPr>
        <w:t>对获得国家级、</w:t>
      </w:r>
      <w:r>
        <w:rPr>
          <w:rFonts w:hint="eastAsia" w:ascii="仿宋_GB2312" w:hAnsi="Calibri" w:eastAsia="仿宋_GB2312" w:cs="仿宋_GB2312"/>
          <w:color w:val="auto"/>
          <w:kern w:val="2"/>
          <w:sz w:val="32"/>
          <w:szCs w:val="32"/>
          <w:highlight w:val="none"/>
          <w:lang w:val="en-US" w:eastAsia="zh-CN" w:bidi="ar"/>
        </w:rPr>
        <w:t>省级跨境</w:t>
      </w:r>
      <w:r>
        <w:rPr>
          <w:rFonts w:hint="default" w:ascii="仿宋_GB2312" w:hAnsi="Calibri" w:eastAsia="仿宋_GB2312" w:cs="仿宋_GB2312"/>
          <w:color w:val="auto"/>
          <w:kern w:val="2"/>
          <w:sz w:val="32"/>
          <w:szCs w:val="32"/>
          <w:highlight w:val="none"/>
          <w:lang w:val="en-US" w:eastAsia="zh-CN" w:bidi="ar"/>
        </w:rPr>
        <w:t>电子商务荣誉称号的企业，分别奖励20万元、10万元（单个企业每年最多补助一次）。</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default" w:ascii="仿宋_GB2312" w:hAnsi="Calibri" w:eastAsia="仿宋_GB2312" w:cs="仿宋_GB2312"/>
          <w:color w:val="auto"/>
          <w:kern w:val="2"/>
          <w:sz w:val="32"/>
          <w:szCs w:val="32"/>
          <w:highlight w:val="none"/>
          <w:lang w:val="en-US" w:eastAsia="zh-CN" w:bidi="ar"/>
        </w:rPr>
      </w:pPr>
      <w:r>
        <w:rPr>
          <w:rFonts w:hint="eastAsia" w:ascii="仿宋_GB2312" w:eastAsia="仿宋_GB2312" w:cs="仿宋_GB2312"/>
          <w:b/>
          <w:color w:val="auto"/>
          <w:kern w:val="2"/>
          <w:sz w:val="32"/>
          <w:szCs w:val="32"/>
          <w:highlight w:val="none"/>
          <w:lang w:val="en-US" w:eastAsia="zh-CN" w:bidi="ar"/>
        </w:rPr>
        <w:t>23.第</w:t>
      </w:r>
      <w:r>
        <w:rPr>
          <w:rFonts w:hint="default" w:ascii="仿宋_GB2312" w:hAnsi="Calibri" w:eastAsia="仿宋_GB2312" w:cs="仿宋_GB2312"/>
          <w:b/>
          <w:color w:val="auto"/>
          <w:kern w:val="2"/>
          <w:sz w:val="32"/>
          <w:szCs w:val="32"/>
          <w:highlight w:val="none"/>
          <w:lang w:val="en-US" w:eastAsia="zh-CN" w:bidi="ar"/>
        </w:rPr>
        <w:t>（二十</w:t>
      </w:r>
      <w:r>
        <w:rPr>
          <w:rFonts w:hint="eastAsia" w:ascii="仿宋_GB2312" w:hAnsi="Calibri" w:eastAsia="仿宋_GB2312" w:cs="仿宋_GB2312"/>
          <w:b/>
          <w:color w:val="auto"/>
          <w:kern w:val="2"/>
          <w:sz w:val="32"/>
          <w:szCs w:val="32"/>
          <w:highlight w:val="none"/>
          <w:lang w:val="en-US" w:eastAsia="zh-CN" w:bidi="ar"/>
        </w:rPr>
        <w:t>三</w:t>
      </w:r>
      <w:r>
        <w:rPr>
          <w:rFonts w:hint="default" w:ascii="仿宋_GB2312" w:hAnsi="Calibri" w:eastAsia="仿宋_GB2312" w:cs="仿宋_GB2312"/>
          <w:b/>
          <w:color w:val="auto"/>
          <w:kern w:val="2"/>
          <w:sz w:val="32"/>
          <w:szCs w:val="32"/>
          <w:highlight w:val="none"/>
          <w:lang w:val="en-US" w:eastAsia="zh-CN" w:bidi="ar"/>
        </w:rPr>
        <w:t>）</w:t>
      </w:r>
      <w:r>
        <w:rPr>
          <w:rFonts w:hint="eastAsia" w:ascii="仿宋_GB2312" w:eastAsia="仿宋_GB2312" w:cs="仿宋_GB2312"/>
          <w:b/>
          <w:color w:val="auto"/>
          <w:kern w:val="2"/>
          <w:sz w:val="32"/>
          <w:szCs w:val="32"/>
          <w:highlight w:val="none"/>
          <w:lang w:val="en-US" w:eastAsia="zh-CN" w:bidi="ar"/>
        </w:rPr>
        <w:t>条</w:t>
      </w:r>
      <w:r>
        <w:rPr>
          <w:rFonts w:hint="default" w:ascii="仿宋_GB2312" w:hAnsi="Calibri" w:eastAsia="仿宋_GB2312" w:cs="仿宋_GB2312"/>
          <w:b w:val="0"/>
          <w:bCs/>
          <w:color w:val="auto"/>
          <w:kern w:val="2"/>
          <w:sz w:val="32"/>
          <w:szCs w:val="32"/>
          <w:highlight w:val="none"/>
          <w:lang w:val="en-US" w:eastAsia="zh-CN" w:bidi="ar"/>
        </w:rPr>
        <w:t>支持跨境电商平台建设。</w:t>
      </w:r>
      <w:r>
        <w:rPr>
          <w:rFonts w:hint="default" w:ascii="仿宋_GB2312" w:hAnsi="Calibri" w:eastAsia="仿宋_GB2312" w:cs="仿宋_GB2312"/>
          <w:color w:val="auto"/>
          <w:kern w:val="2"/>
          <w:sz w:val="32"/>
          <w:szCs w:val="32"/>
          <w:highlight w:val="none"/>
          <w:lang w:val="en-US" w:eastAsia="zh-CN" w:bidi="ar"/>
        </w:rPr>
        <w:t>对企业自建跨境电商平台，正式运营满一年且平台年度网络交易额首次达到3000万元的，给予一次性补助30万元；每提高1000万元，再追加一次性奖励10万元，单个平台累计奖励最高100万元。</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2" w:firstLineChars="200"/>
        <w:jc w:val="both"/>
        <w:textAlignment w:val="auto"/>
        <w:rPr>
          <w:rFonts w:hint="eastAsia" w:ascii="仿宋" w:hAnsi="仿宋" w:eastAsia="仿宋" w:cs="仿宋_GB2312"/>
          <w:sz w:val="30"/>
          <w:szCs w:val="30"/>
          <w:highlight w:val="none"/>
        </w:rPr>
      </w:pPr>
      <w:r>
        <w:rPr>
          <w:rFonts w:hint="eastAsia" w:ascii="仿宋_GB2312" w:eastAsia="仿宋_GB2312" w:cs="仿宋_GB2312"/>
          <w:b/>
          <w:bCs/>
          <w:color w:val="auto"/>
          <w:kern w:val="2"/>
          <w:sz w:val="32"/>
          <w:szCs w:val="32"/>
          <w:highlight w:val="none"/>
          <w:lang w:val="en-US" w:eastAsia="zh-CN" w:bidi="ar"/>
        </w:rPr>
        <w:t>24.</w:t>
      </w:r>
      <w:r>
        <w:rPr>
          <w:rFonts w:hint="eastAsia" w:ascii="仿宋" w:hAnsi="仿宋" w:eastAsia="仿宋" w:cs="仿宋_GB2312"/>
          <w:b/>
          <w:bCs/>
          <w:sz w:val="30"/>
          <w:szCs w:val="30"/>
          <w:highlight w:val="none"/>
        </w:rPr>
        <w:t>第（二十</w:t>
      </w:r>
      <w:r>
        <w:rPr>
          <w:rFonts w:hint="eastAsia" w:ascii="仿宋" w:hAnsi="仿宋" w:eastAsia="仿宋" w:cs="仿宋_GB2312"/>
          <w:b/>
          <w:bCs/>
          <w:sz w:val="30"/>
          <w:szCs w:val="30"/>
          <w:highlight w:val="none"/>
          <w:lang w:eastAsia="zh-CN"/>
        </w:rPr>
        <w:t>四</w:t>
      </w:r>
      <w:r>
        <w:rPr>
          <w:rFonts w:hint="eastAsia" w:ascii="仿宋" w:hAnsi="仿宋" w:eastAsia="仿宋" w:cs="仿宋_GB2312"/>
          <w:b/>
          <w:bCs/>
          <w:sz w:val="30"/>
          <w:szCs w:val="30"/>
          <w:highlight w:val="none"/>
        </w:rPr>
        <w:t>）条</w:t>
      </w:r>
      <w:r>
        <w:rPr>
          <w:rFonts w:hint="eastAsia" w:ascii="仿宋" w:hAnsi="仿宋" w:eastAsia="仿宋" w:cs="仿宋_GB2312"/>
          <w:sz w:val="30"/>
          <w:szCs w:val="30"/>
          <w:highlight w:val="none"/>
        </w:rPr>
        <w:t>支持企业境外投资。</w:t>
      </w:r>
      <w:r>
        <w:rPr>
          <w:rFonts w:hint="eastAsia" w:ascii="仿宋" w:hAnsi="仿宋" w:eastAsia="仿宋" w:cs="仿宋_GB2312"/>
          <w:sz w:val="30"/>
          <w:szCs w:val="30"/>
          <w:highlight w:val="none"/>
          <w:lang w:val="en-US" w:eastAsia="zh-CN"/>
        </w:rPr>
        <w:t>鼓励</w:t>
      </w:r>
      <w:r>
        <w:rPr>
          <w:rFonts w:hint="eastAsia" w:ascii="仿宋" w:hAnsi="仿宋" w:eastAsia="仿宋" w:cs="仿宋_GB2312"/>
          <w:sz w:val="30"/>
          <w:szCs w:val="30"/>
          <w:highlight w:val="none"/>
        </w:rPr>
        <w:t>企业</w:t>
      </w:r>
      <w:r>
        <w:rPr>
          <w:rFonts w:hint="eastAsia" w:ascii="仿宋" w:hAnsi="仿宋" w:eastAsia="仿宋" w:cs="仿宋_GB2312"/>
          <w:sz w:val="30"/>
          <w:szCs w:val="30"/>
          <w:highlight w:val="none"/>
          <w:lang w:val="en-US" w:eastAsia="zh-CN"/>
        </w:rPr>
        <w:t>开展</w:t>
      </w:r>
      <w:r>
        <w:rPr>
          <w:rFonts w:hint="eastAsia" w:ascii="仿宋" w:hAnsi="仿宋" w:eastAsia="仿宋" w:cs="仿宋_GB2312"/>
          <w:sz w:val="30"/>
          <w:szCs w:val="30"/>
          <w:highlight w:val="none"/>
        </w:rPr>
        <w:t>境外资源开发、境外收购项目、境外生产企业、境外营销网络及增资、并购等</w:t>
      </w:r>
      <w:r>
        <w:rPr>
          <w:rFonts w:hint="eastAsia" w:ascii="仿宋" w:hAnsi="仿宋" w:eastAsia="仿宋" w:cs="仿宋_GB2312"/>
          <w:sz w:val="30"/>
          <w:szCs w:val="30"/>
          <w:highlight w:val="none"/>
          <w:lang w:eastAsia="zh-CN"/>
        </w:rPr>
        <w:t>，</w:t>
      </w:r>
      <w:r>
        <w:rPr>
          <w:rFonts w:hint="eastAsia" w:ascii="仿宋" w:hAnsi="仿宋" w:eastAsia="仿宋" w:cs="仿宋_GB2312"/>
          <w:sz w:val="30"/>
          <w:szCs w:val="30"/>
          <w:highlight w:val="none"/>
          <w:lang w:val="en-US" w:eastAsia="zh-CN"/>
        </w:rPr>
        <w:t>对境外投资项目予以补助</w:t>
      </w:r>
      <w:r>
        <w:rPr>
          <w:rFonts w:hint="eastAsia" w:ascii="仿宋" w:hAnsi="仿宋" w:eastAsia="仿宋" w:cs="仿宋_GB2312"/>
          <w:sz w:val="30"/>
          <w:szCs w:val="30"/>
          <w:highlight w:val="none"/>
        </w:rPr>
        <w:t>。</w:t>
      </w:r>
    </w:p>
    <w:p>
      <w:pPr>
        <w:widowControl/>
        <w:spacing w:line="560" w:lineRule="exact"/>
        <w:ind w:firstLine="602" w:firstLineChars="200"/>
        <w:rPr>
          <w:rFonts w:hint="eastAsia" w:ascii="仿宋" w:hAnsi="仿宋" w:eastAsia="仿宋" w:cs="仿宋_GB2312"/>
          <w:sz w:val="30"/>
          <w:szCs w:val="30"/>
          <w:highlight w:val="none"/>
        </w:rPr>
      </w:pPr>
      <w:r>
        <w:rPr>
          <w:rFonts w:hint="eastAsia" w:ascii="仿宋" w:hAnsi="仿宋" w:eastAsia="仿宋" w:cs="仿宋_GB2312"/>
          <w:b/>
          <w:bCs/>
          <w:sz w:val="30"/>
          <w:szCs w:val="30"/>
          <w:highlight w:val="none"/>
          <w:lang w:val="en-US" w:eastAsia="zh-CN"/>
        </w:rPr>
        <w:t>25.第</w:t>
      </w:r>
      <w:r>
        <w:rPr>
          <w:rFonts w:hint="eastAsia" w:ascii="仿宋" w:hAnsi="仿宋" w:eastAsia="仿宋" w:cs="仿宋_GB2312"/>
          <w:b/>
          <w:bCs/>
          <w:sz w:val="30"/>
          <w:szCs w:val="30"/>
          <w:highlight w:val="none"/>
          <w:lang w:eastAsia="zh-CN"/>
        </w:rPr>
        <w:t>（二十五）</w:t>
      </w:r>
      <w:r>
        <w:rPr>
          <w:rFonts w:hint="eastAsia" w:ascii="仿宋" w:hAnsi="仿宋" w:eastAsia="仿宋" w:cs="仿宋_GB2312"/>
          <w:b/>
          <w:bCs/>
          <w:sz w:val="30"/>
          <w:szCs w:val="30"/>
          <w:highlight w:val="none"/>
          <w:lang w:val="en-US" w:eastAsia="zh-CN"/>
        </w:rPr>
        <w:t>条</w:t>
      </w:r>
      <w:r>
        <w:rPr>
          <w:rFonts w:hint="eastAsia" w:ascii="仿宋" w:hAnsi="仿宋" w:eastAsia="仿宋" w:cs="仿宋_GB2312"/>
          <w:sz w:val="30"/>
          <w:szCs w:val="30"/>
          <w:highlight w:val="none"/>
          <w:lang w:val="en-US" w:eastAsia="zh-CN"/>
        </w:rPr>
        <w:t>支持企业对外承包工程。鼓励企业走出去承包工程，经备案开展对外工程承包的企业予以</w:t>
      </w:r>
      <w:r>
        <w:rPr>
          <w:rFonts w:hint="default" w:ascii="仿宋" w:hAnsi="仿宋" w:eastAsia="仿宋" w:cs="仿宋_GB2312"/>
          <w:sz w:val="30"/>
          <w:szCs w:val="30"/>
          <w:highlight w:val="none"/>
          <w:lang w:eastAsia="zh-CN"/>
        </w:rPr>
        <w:t>补</w:t>
      </w:r>
      <w:r>
        <w:rPr>
          <w:rFonts w:hint="eastAsia" w:ascii="仿宋" w:hAnsi="仿宋" w:eastAsia="仿宋" w:cs="仿宋_GB2312"/>
          <w:sz w:val="30"/>
          <w:szCs w:val="30"/>
          <w:highlight w:val="none"/>
          <w:lang w:val="en-US" w:eastAsia="zh-CN"/>
        </w:rPr>
        <w:t>助。</w:t>
      </w:r>
      <w:r>
        <w:rPr>
          <w:rFonts w:hint="eastAsia" w:ascii="仿宋" w:hAnsi="仿宋" w:eastAsia="仿宋" w:cs="仿宋_GB2312"/>
          <w:sz w:val="30"/>
          <w:szCs w:val="30"/>
          <w:highlight w:val="none"/>
          <w:lang w:val="en-US" w:eastAsia="zh-CN"/>
        </w:rPr>
        <w:br w:type="textWrapping"/>
      </w:r>
      <w:r>
        <w:rPr>
          <w:rFonts w:hint="default" w:ascii="仿宋" w:hAnsi="仿宋" w:eastAsia="仿宋" w:cs="仿宋_GB2312"/>
          <w:sz w:val="30"/>
          <w:szCs w:val="30"/>
          <w:highlight w:val="none"/>
          <w:lang w:eastAsia="zh-CN"/>
        </w:rPr>
        <w:t xml:space="preserve">    </w:t>
      </w:r>
      <w:r>
        <w:rPr>
          <w:rFonts w:hint="eastAsia" w:ascii="仿宋_GB2312" w:eastAsia="仿宋_GB2312" w:cs="仿宋_GB2312"/>
          <w:b/>
          <w:bCs/>
          <w:color w:val="auto"/>
          <w:kern w:val="2"/>
          <w:sz w:val="32"/>
          <w:szCs w:val="32"/>
          <w:highlight w:val="none"/>
          <w:lang w:val="en-US" w:eastAsia="zh-CN" w:bidi="ar"/>
        </w:rPr>
        <w:t>26.第</w:t>
      </w:r>
      <w:r>
        <w:rPr>
          <w:rFonts w:hint="eastAsia" w:ascii="仿宋" w:hAnsi="仿宋" w:eastAsia="仿宋" w:cs="仿宋_GB2312"/>
          <w:b/>
          <w:bCs/>
          <w:sz w:val="30"/>
          <w:szCs w:val="30"/>
          <w:highlight w:val="none"/>
          <w:lang w:val="en-US" w:eastAsia="zh-CN"/>
        </w:rPr>
        <w:t>（二十六）条</w:t>
      </w:r>
      <w:r>
        <w:rPr>
          <w:rFonts w:hint="eastAsia" w:ascii="仿宋" w:hAnsi="仿宋" w:eastAsia="仿宋" w:cs="仿宋_GB2312"/>
          <w:sz w:val="30"/>
          <w:szCs w:val="30"/>
          <w:highlight w:val="none"/>
          <w:lang w:val="en-US" w:eastAsia="zh-CN"/>
        </w:rPr>
        <w:t>支持化解“走出去”风险。对企业“走出去”投保信用保险的，给予保费50%补助，每家企业最高补助不超过</w:t>
      </w:r>
      <w:r>
        <w:rPr>
          <w:rFonts w:hint="default" w:ascii="仿宋" w:hAnsi="仿宋" w:eastAsia="仿宋" w:cs="仿宋_GB2312"/>
          <w:sz w:val="30"/>
          <w:szCs w:val="30"/>
          <w:highlight w:val="none"/>
          <w:lang w:eastAsia="zh-CN"/>
        </w:rPr>
        <w:t>50</w:t>
      </w:r>
      <w:r>
        <w:rPr>
          <w:rFonts w:hint="eastAsia" w:ascii="仿宋" w:hAnsi="仿宋" w:eastAsia="仿宋" w:cs="仿宋_GB2312"/>
          <w:sz w:val="30"/>
          <w:szCs w:val="30"/>
          <w:highlight w:val="none"/>
          <w:lang w:val="en-US" w:eastAsia="zh-CN"/>
        </w:rPr>
        <w:t>万元。</w:t>
      </w:r>
    </w:p>
    <w:p>
      <w:pPr>
        <w:widowControl/>
        <w:spacing w:line="560" w:lineRule="exact"/>
        <w:ind w:firstLine="602" w:firstLineChars="200"/>
        <w:rPr>
          <w:rFonts w:hint="default"/>
          <w:color w:val="auto"/>
          <w:lang w:val="en-US" w:eastAsia="zh-CN"/>
        </w:rPr>
      </w:pPr>
      <w:r>
        <w:rPr>
          <w:rFonts w:hint="eastAsia" w:ascii="仿宋" w:hAnsi="仿宋" w:eastAsia="仿宋" w:cs="仿宋_GB2312"/>
          <w:b/>
          <w:bCs/>
          <w:color w:val="auto"/>
          <w:sz w:val="30"/>
          <w:szCs w:val="30"/>
          <w:lang w:val="en-US" w:eastAsia="zh-CN"/>
        </w:rPr>
        <w:t>27.</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lang w:val="en-US" w:eastAsia="zh-CN"/>
        </w:rPr>
        <w:t>二十七</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rPr>
        <w:t>条</w:t>
      </w:r>
      <w:r>
        <w:rPr>
          <w:rFonts w:hint="default" w:ascii="仿宋" w:hAnsi="仿宋" w:eastAsia="仿宋" w:cs="仿宋_GB2312"/>
          <w:bCs/>
          <w:color w:val="auto"/>
          <w:sz w:val="30"/>
          <w:szCs w:val="30"/>
          <w:lang w:val="en-US" w:eastAsia="zh-CN"/>
        </w:rPr>
        <w:t>加大外资利用奖励。对新引进符合上虞产业发展导向的特别重大外资项目、世界 500 强、全球行业龙头企业，给予综合政策扶持。对</w:t>
      </w:r>
      <w:r>
        <w:rPr>
          <w:rFonts w:hint="eastAsia" w:ascii="仿宋" w:hAnsi="仿宋" w:eastAsia="仿宋" w:cs="仿宋_GB2312"/>
          <w:bCs/>
          <w:color w:val="auto"/>
          <w:sz w:val="30"/>
          <w:szCs w:val="30"/>
          <w:lang w:val="en-US" w:eastAsia="zh-CN"/>
        </w:rPr>
        <w:t>符合</w:t>
      </w:r>
      <w:r>
        <w:rPr>
          <w:rFonts w:hint="default" w:ascii="仿宋" w:hAnsi="仿宋" w:eastAsia="仿宋" w:cs="仿宋_GB2312"/>
          <w:bCs/>
          <w:color w:val="auto"/>
          <w:sz w:val="30"/>
          <w:szCs w:val="30"/>
          <w:lang w:eastAsia="zh-CN"/>
        </w:rPr>
        <w:t>相应</w:t>
      </w:r>
      <w:r>
        <w:rPr>
          <w:rFonts w:hint="eastAsia" w:ascii="仿宋" w:hAnsi="仿宋" w:eastAsia="仿宋" w:cs="仿宋_GB2312"/>
          <w:bCs/>
          <w:color w:val="auto"/>
          <w:sz w:val="30"/>
          <w:szCs w:val="30"/>
          <w:lang w:val="en-US" w:eastAsia="zh-CN"/>
        </w:rPr>
        <w:t>条件</w:t>
      </w:r>
      <w:r>
        <w:rPr>
          <w:rFonts w:hint="default" w:ascii="仿宋" w:hAnsi="仿宋" w:eastAsia="仿宋" w:cs="仿宋_GB2312"/>
          <w:bCs/>
          <w:color w:val="auto"/>
          <w:sz w:val="30"/>
          <w:szCs w:val="30"/>
          <w:lang w:val="en-US" w:eastAsia="zh-CN"/>
        </w:rPr>
        <w:t>的实到外资，</w:t>
      </w:r>
      <w:r>
        <w:rPr>
          <w:rFonts w:hint="default" w:ascii="仿宋" w:hAnsi="仿宋" w:eastAsia="仿宋" w:cs="仿宋_GB2312"/>
          <w:bCs/>
          <w:color w:val="auto"/>
          <w:sz w:val="30"/>
          <w:szCs w:val="30"/>
          <w:lang w:eastAsia="zh-CN"/>
        </w:rPr>
        <w:t>按产业类别分类、</w:t>
      </w:r>
      <w:r>
        <w:rPr>
          <w:rFonts w:hint="default" w:ascii="仿宋" w:hAnsi="仿宋" w:eastAsia="仿宋" w:cs="仿宋_GB2312"/>
          <w:bCs/>
          <w:color w:val="auto"/>
          <w:sz w:val="30"/>
          <w:szCs w:val="30"/>
          <w:lang w:val="en-US" w:eastAsia="zh-CN"/>
        </w:rPr>
        <w:t>分档按比例奖励，单类奖励当年最高不超过 3000 万元</w:t>
      </w:r>
      <w:r>
        <w:rPr>
          <w:rFonts w:hint="eastAsia" w:ascii="仿宋" w:hAnsi="仿宋" w:eastAsia="仿宋" w:cs="仿宋_GB2312"/>
          <w:bCs/>
          <w:color w:val="auto"/>
          <w:sz w:val="30"/>
          <w:szCs w:val="30"/>
          <w:lang w:val="en-US" w:eastAsia="zh-CN"/>
        </w:rPr>
        <w:t>。</w:t>
      </w:r>
    </w:p>
    <w:p>
      <w:pPr>
        <w:widowControl/>
        <w:spacing w:line="560" w:lineRule="exact"/>
        <w:ind w:firstLine="602" w:firstLineChars="200"/>
        <w:rPr>
          <w:rFonts w:hint="default" w:ascii="仿宋" w:hAnsi="仿宋" w:eastAsia="仿宋" w:cs="仿宋_GB2312"/>
          <w:bCs/>
          <w:color w:val="auto"/>
          <w:sz w:val="30"/>
          <w:szCs w:val="30"/>
          <w:highlight w:val="none"/>
          <w:lang w:val="en-US" w:eastAsia="zh-CN"/>
        </w:rPr>
      </w:pPr>
      <w:r>
        <w:rPr>
          <w:rFonts w:hint="eastAsia" w:ascii="仿宋" w:hAnsi="仿宋" w:eastAsia="仿宋" w:cs="仿宋_GB2312"/>
          <w:b/>
          <w:bCs/>
          <w:color w:val="auto"/>
          <w:sz w:val="30"/>
          <w:szCs w:val="30"/>
          <w:lang w:val="en-US" w:eastAsia="zh-CN"/>
        </w:rPr>
        <w:t>28.</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lang w:val="en-US" w:eastAsia="zh-CN"/>
        </w:rPr>
        <w:t>二十八</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rPr>
        <w:t>条</w:t>
      </w:r>
      <w:r>
        <w:rPr>
          <w:rFonts w:hint="default" w:ascii="仿宋" w:hAnsi="仿宋" w:eastAsia="仿宋" w:cs="仿宋_GB2312"/>
          <w:bCs/>
          <w:color w:val="auto"/>
          <w:sz w:val="30"/>
          <w:szCs w:val="30"/>
          <w:lang w:val="en-US" w:eastAsia="zh-CN"/>
        </w:rPr>
        <w:t>加大全球化招商推进力度。对</w:t>
      </w:r>
      <w:r>
        <w:rPr>
          <w:rFonts w:hint="default" w:ascii="仿宋" w:hAnsi="仿宋" w:eastAsia="仿宋" w:cs="仿宋_GB2312"/>
          <w:bCs/>
          <w:color w:val="auto"/>
          <w:sz w:val="30"/>
          <w:szCs w:val="30"/>
          <w:lang w:eastAsia="zh-CN"/>
        </w:rPr>
        <w:t>委托招商的</w:t>
      </w:r>
      <w:r>
        <w:rPr>
          <w:rFonts w:hint="eastAsia" w:ascii="仿宋_GB2312" w:hAnsi="仿宋_GB2312" w:eastAsia="仿宋_GB2312" w:cs="仿宋_GB2312"/>
          <w:color w:val="auto"/>
          <w:kern w:val="0"/>
          <w:sz w:val="32"/>
          <w:szCs w:val="32"/>
          <w:highlight w:val="none"/>
          <w:lang w:bidi="ar"/>
        </w:rPr>
        <w:t>第三方合作机构</w:t>
      </w:r>
      <w:r>
        <w:rPr>
          <w:rFonts w:hint="default" w:ascii="仿宋" w:hAnsi="仿宋" w:eastAsia="仿宋" w:cs="仿宋_GB2312"/>
          <w:bCs/>
          <w:color w:val="auto"/>
          <w:sz w:val="30"/>
          <w:szCs w:val="30"/>
          <w:lang w:val="en-US" w:eastAsia="zh-CN"/>
        </w:rPr>
        <w:t>，每年可给予工作经费支持，最高不超过200万元。</w:t>
      </w:r>
      <w:r>
        <w:rPr>
          <w:rFonts w:hint="eastAsia" w:ascii="仿宋" w:hAnsi="仿宋" w:eastAsia="仿宋" w:cs="仿宋_GB2312"/>
          <w:bCs/>
          <w:color w:val="auto"/>
          <w:sz w:val="30"/>
          <w:szCs w:val="30"/>
          <w:lang w:val="en-US" w:eastAsia="zh-CN"/>
        </w:rPr>
        <w:t>若</w:t>
      </w:r>
      <w:r>
        <w:rPr>
          <w:rFonts w:hint="default" w:ascii="仿宋" w:hAnsi="仿宋" w:eastAsia="仿宋" w:cs="仿宋_GB2312"/>
          <w:bCs/>
          <w:color w:val="auto"/>
          <w:sz w:val="30"/>
          <w:szCs w:val="30"/>
          <w:lang w:val="en-US" w:eastAsia="zh-CN"/>
        </w:rPr>
        <w:t>成功引进重大外资项目，可根据项目情况给予奖励</w:t>
      </w:r>
      <w:r>
        <w:rPr>
          <w:rFonts w:hint="default" w:ascii="仿宋" w:hAnsi="仿宋" w:eastAsia="仿宋" w:cs="仿宋_GB2312"/>
          <w:bCs/>
          <w:color w:val="auto"/>
          <w:sz w:val="30"/>
          <w:szCs w:val="30"/>
          <w:lang w:eastAsia="zh-CN"/>
        </w:rPr>
        <w:t>，最高不超过200万元。符合相应条件的可采</w:t>
      </w:r>
      <w:r>
        <w:rPr>
          <w:rFonts w:hint="default" w:ascii="仿宋" w:hAnsi="仿宋" w:eastAsia="仿宋" w:cs="仿宋_GB2312"/>
          <w:bCs/>
          <w:color w:val="auto"/>
          <w:sz w:val="30"/>
          <w:szCs w:val="30"/>
          <w:highlight w:val="none"/>
          <w:lang w:eastAsia="zh-CN"/>
        </w:rPr>
        <w:t>取</w:t>
      </w:r>
      <w:r>
        <w:rPr>
          <w:rFonts w:hint="eastAsia" w:ascii="仿宋_GB2312" w:hAnsi="仿宋_GB2312" w:eastAsia="仿宋_GB2312" w:cs="仿宋_GB2312"/>
          <w:color w:val="auto"/>
          <w:kern w:val="0"/>
          <w:sz w:val="32"/>
          <w:szCs w:val="32"/>
          <w:highlight w:val="none"/>
          <w:lang w:val="en-US" w:eastAsia="zh-CN" w:bidi="ar"/>
        </w:rPr>
        <w:t>“一事一方案”</w:t>
      </w:r>
      <w:r>
        <w:rPr>
          <w:rFonts w:hint="default" w:ascii="仿宋_GB2312" w:hAnsi="仿宋_GB2312" w:eastAsia="仿宋_GB2312" w:cs="仿宋_GB2312"/>
          <w:color w:val="auto"/>
          <w:kern w:val="0"/>
          <w:sz w:val="32"/>
          <w:szCs w:val="32"/>
          <w:highlight w:val="none"/>
          <w:lang w:eastAsia="zh-CN" w:bidi="ar"/>
        </w:rPr>
        <w:t>奖励</w:t>
      </w:r>
      <w:r>
        <w:rPr>
          <w:rFonts w:hint="default" w:ascii="仿宋" w:hAnsi="仿宋" w:eastAsia="仿宋" w:cs="仿宋_GB2312"/>
          <w:bCs/>
          <w:color w:val="auto"/>
          <w:sz w:val="30"/>
          <w:szCs w:val="30"/>
          <w:highlight w:val="none"/>
          <w:lang w:val="en-US" w:eastAsia="zh-CN"/>
        </w:rPr>
        <w:t>。</w:t>
      </w:r>
    </w:p>
    <w:p>
      <w:pPr>
        <w:widowControl/>
        <w:spacing w:line="560" w:lineRule="exact"/>
        <w:ind w:firstLine="602" w:firstLineChars="200"/>
        <w:rPr>
          <w:rFonts w:hint="default" w:ascii="仿宋" w:hAnsi="仿宋" w:eastAsia="仿宋" w:cs="仿宋_GB2312"/>
          <w:bCs/>
          <w:color w:val="auto"/>
          <w:sz w:val="30"/>
          <w:szCs w:val="30"/>
          <w:lang w:val="en-US" w:eastAsia="zh-CN"/>
        </w:rPr>
      </w:pPr>
      <w:r>
        <w:rPr>
          <w:rFonts w:hint="eastAsia" w:ascii="仿宋" w:hAnsi="仿宋" w:eastAsia="仿宋" w:cs="仿宋_GB2312"/>
          <w:b/>
          <w:bCs/>
          <w:color w:val="auto"/>
          <w:sz w:val="30"/>
          <w:szCs w:val="30"/>
          <w:lang w:val="en-US" w:eastAsia="zh-CN"/>
        </w:rPr>
        <w:t>29.</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lang w:val="en-US" w:eastAsia="zh-CN"/>
        </w:rPr>
        <w:t>二十九</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rPr>
        <w:t>条</w:t>
      </w:r>
      <w:r>
        <w:rPr>
          <w:rFonts w:hint="default" w:ascii="仿宋" w:hAnsi="仿宋" w:eastAsia="仿宋" w:cs="仿宋_GB2312"/>
          <w:bCs/>
          <w:color w:val="auto"/>
          <w:sz w:val="30"/>
          <w:szCs w:val="30"/>
          <w:lang w:val="en-US" w:eastAsia="zh-CN"/>
        </w:rPr>
        <w:t>加强项目要素保障。完善在谈重大外资项目要素保障预承诺机制。加强环境影响评价前期服务与排污权指标需求保障。落实促进绿色电力消费政策措施。鼓励建立外商投资企业再投资要素保障机制。</w:t>
      </w:r>
    </w:p>
    <w:p>
      <w:pPr>
        <w:widowControl/>
        <w:spacing w:line="560" w:lineRule="exact"/>
        <w:ind w:firstLine="602" w:firstLineChars="200"/>
        <w:rPr>
          <w:rFonts w:hint="default" w:ascii="仿宋" w:hAnsi="仿宋" w:eastAsia="仿宋" w:cs="仿宋_GB2312"/>
          <w:bCs/>
          <w:color w:val="auto"/>
          <w:sz w:val="30"/>
          <w:szCs w:val="30"/>
          <w:lang w:val="en-US" w:eastAsia="zh-CN"/>
        </w:rPr>
      </w:pPr>
      <w:r>
        <w:rPr>
          <w:rFonts w:hint="eastAsia" w:ascii="仿宋" w:hAnsi="仿宋" w:eastAsia="仿宋" w:cs="仿宋_GB2312"/>
          <w:b/>
          <w:bCs/>
          <w:color w:val="auto"/>
          <w:sz w:val="30"/>
          <w:szCs w:val="30"/>
          <w:lang w:val="en-US" w:eastAsia="zh-CN"/>
        </w:rPr>
        <w:t>30.</w:t>
      </w:r>
      <w:r>
        <w:rPr>
          <w:rFonts w:hint="default" w:ascii="仿宋" w:hAnsi="仿宋" w:eastAsia="仿宋" w:cs="仿宋_GB2312"/>
          <w:b/>
          <w:bCs/>
          <w:color w:val="auto"/>
          <w:sz w:val="30"/>
          <w:szCs w:val="30"/>
          <w:lang w:val="en-US" w:eastAsia="zh-CN"/>
        </w:rPr>
        <w:t>（三</w:t>
      </w:r>
      <w:r>
        <w:rPr>
          <w:rFonts w:hint="eastAsia" w:ascii="仿宋" w:hAnsi="仿宋" w:eastAsia="仿宋" w:cs="仿宋_GB2312"/>
          <w:b/>
          <w:bCs/>
          <w:color w:val="auto"/>
          <w:sz w:val="30"/>
          <w:szCs w:val="30"/>
          <w:lang w:val="en-US" w:eastAsia="zh-CN"/>
        </w:rPr>
        <w:t>十</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rPr>
        <w:t>条</w:t>
      </w:r>
      <w:r>
        <w:rPr>
          <w:rFonts w:hint="default" w:ascii="仿宋" w:hAnsi="仿宋" w:eastAsia="仿宋" w:cs="仿宋_GB2312"/>
          <w:bCs/>
          <w:color w:val="auto"/>
          <w:sz w:val="30"/>
          <w:szCs w:val="30"/>
          <w:lang w:val="en-US" w:eastAsia="zh-CN"/>
        </w:rPr>
        <w:t>加大金融支持力度。发挥政府产业基金引领作用，支持重大跨国并购项目返程投资。推动合格境外有限合伙人（QFLP）试点落地见效，落实好QFLP外汇管理便利化制度，支持以所募的境外人民币直接开展境内相关投资。</w:t>
      </w:r>
    </w:p>
    <w:p>
      <w:pPr>
        <w:pStyle w:val="2"/>
        <w:rPr>
          <w:rFonts w:hint="default"/>
          <w:lang w:val="en-US" w:eastAsia="zh-CN"/>
        </w:rPr>
      </w:pPr>
      <w:r>
        <w:rPr>
          <w:rFonts w:hint="eastAsia" w:ascii="仿宋" w:hAnsi="仿宋" w:eastAsia="仿宋" w:cs="仿宋_GB2312"/>
          <w:b/>
          <w:bCs/>
          <w:color w:val="auto"/>
          <w:sz w:val="30"/>
          <w:szCs w:val="30"/>
          <w:lang w:val="en-US" w:eastAsia="zh-CN"/>
        </w:rPr>
        <w:t>31.</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lang w:val="en-US" w:eastAsia="zh-CN"/>
        </w:rPr>
        <w:t>三十一</w:t>
      </w:r>
      <w:r>
        <w:rPr>
          <w:rFonts w:hint="default" w:ascii="仿宋" w:hAnsi="仿宋" w:eastAsia="仿宋" w:cs="仿宋_GB2312"/>
          <w:b/>
          <w:bCs/>
          <w:color w:val="auto"/>
          <w:sz w:val="30"/>
          <w:szCs w:val="30"/>
          <w:lang w:val="en-US" w:eastAsia="zh-CN"/>
        </w:rPr>
        <w:t>）</w:t>
      </w:r>
      <w:r>
        <w:rPr>
          <w:rFonts w:hint="eastAsia" w:ascii="仿宋" w:hAnsi="仿宋" w:eastAsia="仿宋" w:cs="仿宋_GB2312"/>
          <w:b/>
          <w:bCs/>
          <w:color w:val="auto"/>
          <w:sz w:val="30"/>
          <w:szCs w:val="30"/>
        </w:rPr>
        <w:t>条</w:t>
      </w:r>
      <w:r>
        <w:rPr>
          <w:rFonts w:hint="default" w:ascii="仿宋" w:hAnsi="仿宋" w:eastAsia="仿宋" w:cs="仿宋_GB2312"/>
          <w:bCs/>
          <w:color w:val="auto"/>
          <w:sz w:val="30"/>
          <w:szCs w:val="30"/>
          <w:lang w:val="en-US" w:eastAsia="zh-CN"/>
        </w:rPr>
        <w:t>支持外资企业研发创新。持续开展省级外资研发中心认定工作，确保符合条件的外资研发中心依法享受支持科技创新进口税收政策和采购国产设备增值税退税政策等各项支持政策。支持外商投资企业与其他企业、高校和省市重点科研平台合作，联合开展技术研发和应用。</w:t>
      </w:r>
    </w:p>
    <w:p>
      <w:pPr>
        <w:spacing w:line="520" w:lineRule="exact"/>
        <w:ind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四、适用范围</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本政策适用于绍兴市上虞区</w:t>
      </w:r>
    </w:p>
    <w:p>
      <w:pPr>
        <w:spacing w:line="520" w:lineRule="exact"/>
        <w:ind w:firstLine="642" w:firstLineChars="200"/>
        <w:jc w:val="left"/>
        <w:rPr>
          <w:rFonts w:ascii="仿宋_GB2312" w:hAnsi="黑体" w:eastAsia="仿宋_GB2312"/>
          <w:sz w:val="32"/>
          <w:szCs w:val="32"/>
        </w:rPr>
      </w:pPr>
      <w:r>
        <w:rPr>
          <w:rFonts w:hint="eastAsia" w:ascii="仿宋_GB2312" w:hAnsi="黑体" w:eastAsia="仿宋_GB2312"/>
          <w:b/>
          <w:bCs/>
          <w:sz w:val="32"/>
          <w:szCs w:val="32"/>
        </w:rPr>
        <w:t>五、解读机关、解读人及联系方式</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解读机关：绍兴市上虞区商务局、投资促进中心</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 读 人：戚焕焕、张芳芳、</w:t>
      </w:r>
      <w:r>
        <w:rPr>
          <w:rFonts w:hint="eastAsia" w:ascii="仿宋_GB2312" w:hAnsi="黑体" w:eastAsia="仿宋_GB2312"/>
          <w:sz w:val="32"/>
          <w:szCs w:val="32"/>
          <w:lang w:eastAsia="zh-CN"/>
        </w:rPr>
        <w:t>夏丽娜</w:t>
      </w:r>
      <w:r>
        <w:rPr>
          <w:rFonts w:hint="eastAsia" w:ascii="仿宋_GB2312" w:hAnsi="黑体" w:eastAsia="仿宋_GB2312"/>
          <w:sz w:val="32"/>
          <w:szCs w:val="32"/>
        </w:rPr>
        <w:t>、徐梦莹</w:t>
      </w:r>
    </w:p>
    <w:p>
      <w:pPr>
        <w:spacing w:line="520" w:lineRule="exact"/>
        <w:ind w:firstLine="640" w:firstLineChars="200"/>
        <w:jc w:val="left"/>
        <w:rPr>
          <w:rFonts w:ascii="仿宋_GB2312" w:hAnsi="黑体" w:eastAsia="仿宋_GB2312"/>
          <w:color w:val="auto"/>
          <w:sz w:val="32"/>
          <w:szCs w:val="32"/>
        </w:rPr>
      </w:pPr>
      <w:r>
        <w:rPr>
          <w:rFonts w:hint="eastAsia" w:ascii="仿宋_GB2312" w:hAnsi="黑体" w:eastAsia="仿宋_GB2312"/>
          <w:sz w:val="32"/>
          <w:szCs w:val="32"/>
        </w:rPr>
        <w:t>联系电话：82125484、</w:t>
      </w:r>
      <w:r>
        <w:rPr>
          <w:rFonts w:ascii="仿宋_GB2312" w:hAnsi="黑体" w:eastAsia="仿宋_GB2312"/>
          <w:sz w:val="32"/>
          <w:szCs w:val="32"/>
        </w:rPr>
        <w:t>82212772</w:t>
      </w:r>
      <w:r>
        <w:rPr>
          <w:rFonts w:hint="eastAsia" w:ascii="仿宋_GB2312" w:hAnsi="黑体" w:eastAsia="仿宋_GB2312"/>
          <w:sz w:val="32"/>
          <w:szCs w:val="32"/>
        </w:rPr>
        <w:t>、</w:t>
      </w:r>
      <w:r>
        <w:rPr>
          <w:rFonts w:ascii="仿宋_GB2312" w:hAnsi="黑体" w:eastAsia="仿宋_GB2312"/>
          <w:color w:val="auto"/>
          <w:sz w:val="32"/>
          <w:szCs w:val="32"/>
        </w:rPr>
        <w:t>8</w:t>
      </w:r>
      <w:r>
        <w:rPr>
          <w:rFonts w:hint="eastAsia" w:ascii="仿宋_GB2312" w:hAnsi="黑体" w:eastAsia="仿宋_GB2312"/>
          <w:color w:val="auto"/>
          <w:sz w:val="32"/>
          <w:szCs w:val="32"/>
          <w:lang w:val="en-US" w:eastAsia="zh-CN"/>
        </w:rPr>
        <w:t>2506780</w:t>
      </w:r>
      <w:r>
        <w:rPr>
          <w:rFonts w:hint="eastAsia" w:ascii="仿宋_GB2312" w:hAnsi="黑体" w:eastAsia="仿宋_GB2312"/>
          <w:color w:val="auto"/>
          <w:sz w:val="32"/>
          <w:szCs w:val="32"/>
        </w:rPr>
        <w:t>、</w:t>
      </w:r>
      <w:r>
        <w:rPr>
          <w:rFonts w:ascii="仿宋_GB2312" w:hAnsi="黑体" w:eastAsia="仿宋_GB2312"/>
          <w:color w:val="auto"/>
          <w:sz w:val="32"/>
          <w:szCs w:val="32"/>
        </w:rPr>
        <w:t>82195691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89885"/>
    <w:multiLevelType w:val="singleLevel"/>
    <w:tmpl w:val="95A8988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1B4"/>
    <w:rsid w:val="0001620E"/>
    <w:rsid w:val="000E36B1"/>
    <w:rsid w:val="001041B4"/>
    <w:rsid w:val="001A4F6F"/>
    <w:rsid w:val="001E10BB"/>
    <w:rsid w:val="00204E00"/>
    <w:rsid w:val="00251DC2"/>
    <w:rsid w:val="002D7B6C"/>
    <w:rsid w:val="003208A0"/>
    <w:rsid w:val="00325FC2"/>
    <w:rsid w:val="003E5A80"/>
    <w:rsid w:val="004B1410"/>
    <w:rsid w:val="00555787"/>
    <w:rsid w:val="005A5856"/>
    <w:rsid w:val="005C5910"/>
    <w:rsid w:val="005D3A3B"/>
    <w:rsid w:val="005D7E62"/>
    <w:rsid w:val="00647A98"/>
    <w:rsid w:val="0071732F"/>
    <w:rsid w:val="008A4105"/>
    <w:rsid w:val="009254CB"/>
    <w:rsid w:val="00945B21"/>
    <w:rsid w:val="009E380F"/>
    <w:rsid w:val="00A34EEE"/>
    <w:rsid w:val="00A9682C"/>
    <w:rsid w:val="00B74162"/>
    <w:rsid w:val="00BE43BF"/>
    <w:rsid w:val="00BF7D76"/>
    <w:rsid w:val="00C95195"/>
    <w:rsid w:val="00CC11F0"/>
    <w:rsid w:val="00D026B7"/>
    <w:rsid w:val="00D17AEA"/>
    <w:rsid w:val="00D2002D"/>
    <w:rsid w:val="00DA6979"/>
    <w:rsid w:val="00DF770A"/>
    <w:rsid w:val="00FA7D14"/>
    <w:rsid w:val="04241DDC"/>
    <w:rsid w:val="06A62D4C"/>
    <w:rsid w:val="095B5248"/>
    <w:rsid w:val="126C09B9"/>
    <w:rsid w:val="138F2576"/>
    <w:rsid w:val="13D95550"/>
    <w:rsid w:val="17F263D4"/>
    <w:rsid w:val="22237FFE"/>
    <w:rsid w:val="2BFE6E09"/>
    <w:rsid w:val="3242416A"/>
    <w:rsid w:val="38D10954"/>
    <w:rsid w:val="44B30262"/>
    <w:rsid w:val="4ADC0318"/>
    <w:rsid w:val="4F94051C"/>
    <w:rsid w:val="4FDD3032"/>
    <w:rsid w:val="53181F9B"/>
    <w:rsid w:val="5C265B99"/>
    <w:rsid w:val="5D9C068F"/>
    <w:rsid w:val="62A847ED"/>
    <w:rsid w:val="644C0547"/>
    <w:rsid w:val="6D14194B"/>
    <w:rsid w:val="6D66192F"/>
    <w:rsid w:val="6DB93944"/>
    <w:rsid w:val="72AE0A3C"/>
    <w:rsid w:val="BAF56A1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99"/>
    <w:pPr>
      <w:widowControl w:val="0"/>
      <w:spacing w:after="120" w:afterLines="0" w:afterAutospacing="0" w:line="500" w:lineRule="exact"/>
      <w:ind w:firstLine="420"/>
      <w:jc w:val="both"/>
    </w:pPr>
    <w:rPr>
      <w:rFonts w:ascii="Calibri" w:hAnsi="Calibri" w:eastAsia="楷体_GB2312" w:cs="Times New Roman"/>
      <w:kern w:val="2"/>
      <w:sz w:val="21"/>
      <w:szCs w:val="20"/>
      <w:lang w:val="en-US" w:eastAsia="zh-CN" w:bidi="ar-SA"/>
    </w:rPr>
  </w:style>
  <w:style w:type="paragraph" w:styleId="3">
    <w:name w:val="Body Text"/>
    <w:basedOn w:val="1"/>
    <w:next w:val="2"/>
    <w:qFormat/>
    <w:uiPriority w:val="0"/>
    <w:pPr>
      <w:widowControl w:val="0"/>
      <w:spacing w:after="120" w:afterLines="0" w:afterAutospacing="0"/>
      <w:jc w:val="both"/>
    </w:pPr>
    <w:rPr>
      <w:rFonts w:ascii="Times New Roman" w:hAnsi="Times New Roman" w:eastAsia="仿宋_GB2312" w:cs="Times New Roman"/>
      <w:kern w:val="2"/>
      <w:sz w:val="32"/>
      <w:szCs w:val="32"/>
      <w:lang w:val="en-US" w:eastAsia="zh-CN" w:bidi="ar-SA"/>
    </w:rPr>
  </w:style>
  <w:style w:type="paragraph" w:styleId="4">
    <w:name w:val="Plain Text"/>
    <w:basedOn w:val="1"/>
    <w:link w:val="17"/>
    <w:qFormat/>
    <w:uiPriority w:val="0"/>
    <w:rPr>
      <w:rFonts w:ascii="宋体" w:hAnsi="Courier New" w:cs="Courier New"/>
      <w:kern w:val="2"/>
      <w:szCs w:val="21"/>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sz w:val="24"/>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character" w:customStyle="1" w:styleId="13">
    <w:name w:val="bsharetext"/>
    <w:basedOn w:val="9"/>
    <w:qFormat/>
    <w:uiPriority w:val="0"/>
  </w:style>
  <w:style w:type="paragraph" w:customStyle="1" w:styleId="14">
    <w:name w:val="列出段落1"/>
    <w:basedOn w:val="1"/>
    <w:qFormat/>
    <w:uiPriority w:val="34"/>
    <w:pPr>
      <w:ind w:firstLine="420" w:firstLineChars="200"/>
    </w:pPr>
  </w:style>
  <w:style w:type="character" w:customStyle="1" w:styleId="15">
    <w:name w:val="页眉 Char"/>
    <w:basedOn w:val="9"/>
    <w:link w:val="6"/>
    <w:qFormat/>
    <w:uiPriority w:val="0"/>
    <w:rPr>
      <w:rFonts w:ascii="Calibri" w:hAnsi="Calibri" w:cs="黑体"/>
      <w:sz w:val="18"/>
      <w:szCs w:val="18"/>
    </w:rPr>
  </w:style>
  <w:style w:type="character" w:customStyle="1" w:styleId="16">
    <w:name w:val="页脚 Char"/>
    <w:basedOn w:val="9"/>
    <w:link w:val="5"/>
    <w:qFormat/>
    <w:uiPriority w:val="0"/>
    <w:rPr>
      <w:rFonts w:ascii="Calibri" w:hAnsi="Calibri" w:cs="黑体"/>
      <w:sz w:val="18"/>
      <w:szCs w:val="18"/>
    </w:rPr>
  </w:style>
  <w:style w:type="character" w:customStyle="1" w:styleId="17">
    <w:name w:val="纯文本 Char"/>
    <w:basedOn w:val="9"/>
    <w:link w:val="4"/>
    <w:qFormat/>
    <w:uiPriority w:val="0"/>
    <w:rPr>
      <w:rFonts w:ascii="宋体" w:hAnsi="Courier New" w:cs="Courier New"/>
      <w:kern w:val="2"/>
      <w:sz w:val="21"/>
      <w:szCs w:val="21"/>
    </w:rPr>
  </w:style>
  <w:style w:type="character" w:customStyle="1" w:styleId="18">
    <w:name w:val="15"/>
    <w:basedOn w:val="9"/>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8</Pages>
  <Words>662</Words>
  <Characters>3780</Characters>
  <Lines>31</Lines>
  <Paragraphs>8</Paragraphs>
  <TotalTime>0</TotalTime>
  <ScaleCrop>false</ScaleCrop>
  <LinksUpToDate>false</LinksUpToDate>
  <CharactersWithSpaces>4434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雨天下雪</dc:creator>
  <cp:lastModifiedBy>aaa</cp:lastModifiedBy>
  <dcterms:modified xsi:type="dcterms:W3CDTF">2024-03-15T10:25:19Z</dcterms:modified>
  <dc:title>《绍兴市上虞区加快科技创新若干政策》</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C46258D969BB49A58378F297FF1022B0</vt:lpwstr>
  </property>
</Properties>
</file>