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kern w:val="2"/>
          <w:sz w:val="44"/>
        </w:rPr>
      </w:pPr>
      <w:r>
        <w:rPr>
          <w:rFonts w:hint="eastAsia" w:asciiTheme="majorEastAsia" w:hAnsiTheme="majorEastAsia" w:eastAsiaTheme="majorEastAsia"/>
          <w:b/>
          <w:kern w:val="2"/>
          <w:sz w:val="44"/>
        </w:rPr>
        <w:t>《绍兴市上虞区人民政府办公室关于鼓励支持开放型经济发展的若干政策》</w:t>
      </w:r>
    </w:p>
    <w:p>
      <w:pPr>
        <w:jc w:val="center"/>
        <w:rPr>
          <w:rFonts w:asciiTheme="majorEastAsia" w:hAnsiTheme="majorEastAsia" w:eastAsiaTheme="majorEastAsia"/>
          <w:b/>
          <w:kern w:val="2"/>
          <w:sz w:val="44"/>
        </w:rPr>
      </w:pPr>
      <w:r>
        <w:rPr>
          <w:rFonts w:hint="eastAsia" w:asciiTheme="majorEastAsia" w:hAnsiTheme="majorEastAsia" w:eastAsiaTheme="majorEastAsia"/>
          <w:b/>
          <w:kern w:val="2"/>
          <w:sz w:val="44"/>
        </w:rPr>
        <w:t>政策解读</w:t>
      </w:r>
    </w:p>
    <w:p>
      <w:pPr>
        <w:jc w:val="center"/>
        <w:rPr>
          <w:rFonts w:ascii="黑体" w:hAnsi="黑体" w:eastAsia="黑体"/>
          <w:sz w:val="36"/>
          <w:szCs w:val="36"/>
        </w:rPr>
      </w:pPr>
    </w:p>
    <w:p>
      <w:pPr>
        <w:spacing w:line="520" w:lineRule="exact"/>
        <w:ind w:firstLine="602" w:firstLineChars="200"/>
        <w:jc w:val="left"/>
        <w:rPr>
          <w:rFonts w:ascii="仿宋" w:hAnsi="仿宋" w:eastAsia="仿宋" w:cs="仿宋"/>
          <w:b/>
          <w:bCs/>
          <w:sz w:val="30"/>
          <w:szCs w:val="30"/>
        </w:rPr>
      </w:pPr>
      <w:r>
        <w:rPr>
          <w:rFonts w:hint="eastAsia" w:ascii="仿宋" w:hAnsi="仿宋" w:eastAsia="仿宋" w:cs="仿宋"/>
          <w:b/>
          <w:bCs/>
          <w:sz w:val="30"/>
          <w:szCs w:val="30"/>
        </w:rPr>
        <w:t>一、制定背景</w:t>
      </w:r>
    </w:p>
    <w:p>
      <w:pPr>
        <w:autoSpaceDE w:val="0"/>
        <w:autoSpaceDN w:val="0"/>
        <w:adjustRightInd w:val="0"/>
        <w:jc w:val="left"/>
        <w:rPr>
          <w:rFonts w:ascii="仿宋" w:hAnsi="仿宋" w:eastAsia="仿宋" w:cs="仿宋"/>
          <w:sz w:val="30"/>
          <w:szCs w:val="30"/>
        </w:rPr>
      </w:pPr>
      <w:r>
        <w:rPr>
          <w:rFonts w:hint="eastAsia" w:ascii="仿宋" w:hAnsi="仿宋" w:eastAsia="仿宋" w:cs="仿宋"/>
          <w:sz w:val="30"/>
          <w:szCs w:val="30"/>
        </w:rPr>
        <w:t xml:space="preserve">    为贯彻落实《绍兴市人民政府办公室关于印发先进制造业强市建设“</w:t>
      </w:r>
      <w:r>
        <w:rPr>
          <w:rFonts w:ascii="仿宋" w:hAnsi="仿宋" w:eastAsia="仿宋" w:cs="仿宋"/>
          <w:sz w:val="30"/>
          <w:szCs w:val="30"/>
        </w:rPr>
        <w:t>4151</w:t>
      </w:r>
      <w:r>
        <w:rPr>
          <w:rFonts w:hint="eastAsia" w:ascii="仿宋" w:hAnsi="仿宋" w:eastAsia="仿宋" w:cs="仿宋"/>
          <w:sz w:val="30"/>
          <w:szCs w:val="30"/>
        </w:rPr>
        <w:t>”计划专项政策等七个政策的通知》，2023年2月绍兴市出台了鼓励支持开放型经济发展若干政策（绍政办发〔</w:t>
      </w:r>
      <w:r>
        <w:rPr>
          <w:rFonts w:ascii="仿宋" w:hAnsi="仿宋" w:eastAsia="仿宋" w:cs="仿宋"/>
          <w:sz w:val="30"/>
          <w:szCs w:val="30"/>
        </w:rPr>
        <w:t>2023</w:t>
      </w:r>
      <w:r>
        <w:rPr>
          <w:rFonts w:hint="eastAsia" w:ascii="仿宋" w:hAnsi="仿宋" w:eastAsia="仿宋" w:cs="仿宋"/>
          <w:sz w:val="30"/>
          <w:szCs w:val="30"/>
        </w:rPr>
        <w:t>〕</w:t>
      </w:r>
      <w:r>
        <w:rPr>
          <w:rFonts w:ascii="仿宋" w:hAnsi="仿宋" w:eastAsia="仿宋" w:cs="仿宋"/>
          <w:sz w:val="30"/>
          <w:szCs w:val="30"/>
        </w:rPr>
        <w:t xml:space="preserve">5 </w:t>
      </w:r>
      <w:r>
        <w:rPr>
          <w:rFonts w:hint="eastAsia" w:ascii="仿宋" w:hAnsi="仿宋" w:eastAsia="仿宋" w:cs="仿宋"/>
          <w:sz w:val="30"/>
          <w:szCs w:val="30"/>
        </w:rPr>
        <w:t>号），从2023年1月1日起实行。区商务局、区投促中心根据文件精神结合上虞实际，草拟了《绍兴市上虞区人民政府办公室关于鼓励支持开放型经济发展的若干政策的通知》</w:t>
      </w:r>
      <w:r>
        <w:rPr>
          <w:rFonts w:hint="eastAsia" w:ascii="仿宋" w:hAnsi="仿宋" w:eastAsia="仿宋" w:cs="仿宋"/>
          <w:kern w:val="2"/>
          <w:sz w:val="30"/>
          <w:szCs w:val="30"/>
        </w:rPr>
        <w:t>。</w:t>
      </w:r>
    </w:p>
    <w:p>
      <w:pPr>
        <w:spacing w:line="520" w:lineRule="exact"/>
        <w:ind w:firstLine="602" w:firstLineChars="200"/>
        <w:jc w:val="left"/>
        <w:rPr>
          <w:rFonts w:ascii="仿宋" w:hAnsi="仿宋" w:eastAsia="仿宋" w:cs="仿宋"/>
          <w:b/>
          <w:bCs/>
          <w:sz w:val="30"/>
          <w:szCs w:val="30"/>
        </w:rPr>
      </w:pPr>
      <w:r>
        <w:rPr>
          <w:rFonts w:hint="eastAsia" w:ascii="仿宋" w:hAnsi="仿宋" w:eastAsia="仿宋" w:cs="仿宋"/>
          <w:b/>
          <w:bCs/>
          <w:sz w:val="30"/>
          <w:szCs w:val="30"/>
        </w:rPr>
        <w:t>二、制定过程</w:t>
      </w:r>
    </w:p>
    <w:p>
      <w:pPr>
        <w:spacing w:line="5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2022年12月，上虞区商务局正式启动开放型经济政策政策调研和文件起草。前期，由区商务局分管领导牵头，对接区投促中心，根据《绍兴市鼓励支持开放型经济政策》（征求意见稿）研究讨论我区政策，根据实际，发文主体建议以区政府办公室名义下发，并在我区2022年度开放型经济政策基础上，起草了《绍兴市上虞区人民政府办公室关于鼓励支持开放型经济发展的若干政策》（征求意见稿）。12月14日，区商务局通过OA系统征求区委办、区府办、财政、发改、人大、政协、投促中心、海关、人行、税务、各乡镇街道、曹娥江经开区、旅游度假区、杭州湾经开区、e游小镇 、自规局、金融办等部门意见，同步征求重点外贸企业意见建议，根据各部门反馈意见，采纳财政局相关意见建议后形成《绍兴市上虞区人民政府办公室</w:t>
      </w:r>
      <w:bookmarkStart w:id="0" w:name="_GoBack"/>
      <w:bookmarkEnd w:id="0"/>
      <w:r>
        <w:rPr>
          <w:rFonts w:hint="eastAsia" w:ascii="仿宋" w:hAnsi="仿宋" w:eastAsia="仿宋" w:cs="仿宋"/>
          <w:sz w:val="30"/>
          <w:szCs w:val="30"/>
        </w:rPr>
        <w:t>关于鼓励支持开放型经济发展的若干政策》（审议稿），提交区政府专题会议研究。</w:t>
      </w:r>
    </w:p>
    <w:p>
      <w:pPr>
        <w:numPr>
          <w:ilvl w:val="0"/>
          <w:numId w:val="1"/>
        </w:numPr>
        <w:spacing w:line="520" w:lineRule="exact"/>
        <w:ind w:firstLine="602" w:firstLineChars="200"/>
        <w:jc w:val="left"/>
        <w:rPr>
          <w:rFonts w:ascii="仿宋" w:hAnsi="仿宋" w:eastAsia="仿宋" w:cs="仿宋"/>
          <w:b/>
          <w:bCs/>
          <w:sz w:val="30"/>
          <w:szCs w:val="30"/>
        </w:rPr>
      </w:pPr>
      <w:r>
        <w:rPr>
          <w:rFonts w:hint="eastAsia" w:ascii="仿宋" w:hAnsi="仿宋" w:eastAsia="仿宋" w:cs="仿宋"/>
          <w:b/>
          <w:bCs/>
          <w:sz w:val="30"/>
          <w:szCs w:val="30"/>
        </w:rPr>
        <w:t>主要内容</w:t>
      </w:r>
    </w:p>
    <w:p>
      <w:pPr>
        <w:pStyle w:val="5"/>
        <w:widowControl/>
        <w:shd w:val="clear" w:color="auto" w:fill="FFFFFF"/>
        <w:spacing w:beforeAutospacing="0" w:afterAutospacing="0" w:line="560" w:lineRule="exact"/>
        <w:ind w:firstLine="600" w:firstLineChars="200"/>
        <w:rPr>
          <w:rFonts w:ascii="仿宋" w:hAnsi="仿宋" w:eastAsia="仿宋" w:cs="仿宋_GB2312"/>
          <w:sz w:val="30"/>
          <w:szCs w:val="30"/>
          <w:shd w:val="clear" w:color="auto" w:fill="FFFFFF"/>
        </w:rPr>
      </w:pPr>
      <w:r>
        <w:rPr>
          <w:rFonts w:hint="eastAsia" w:ascii="仿宋" w:hAnsi="仿宋" w:eastAsia="仿宋" w:cs="仿宋_GB2312"/>
          <w:sz w:val="30"/>
          <w:szCs w:val="30"/>
          <w:shd w:val="clear" w:color="auto" w:fill="FFFFFF"/>
        </w:rPr>
        <w:t>除明确具体政策操作细则外，同时明确申报相应政策所需文件资料。具体政策操作细则主要内容如下：</w:t>
      </w:r>
    </w:p>
    <w:p>
      <w:pPr>
        <w:pStyle w:val="5"/>
        <w:widowControl/>
        <w:shd w:val="clear" w:color="auto" w:fill="FFFFFF"/>
        <w:spacing w:beforeAutospacing="0" w:afterAutospacing="0"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1.第（一）条</w:t>
      </w:r>
      <w:r>
        <w:rPr>
          <w:rFonts w:hint="eastAsia" w:ascii="仿宋" w:hAnsi="仿宋" w:eastAsia="仿宋" w:cs="仿宋"/>
          <w:sz w:val="30"/>
          <w:szCs w:val="30"/>
        </w:rPr>
        <w:t>“支持企业参加展会”：对参加区年度重点展会（含线上展会）给予展位费100%资助；对参加区定重点推荐类境外展（含线上展会）给予摊位费 80%的补贴；对企业参加非区年度重点境外展会（含线上展会）的给予展位费50%补助，展会在“一带一路”沿线国家和地区的给予展位费60%补助，展会在RCEP成员国家的给予展位费70%补助。</w:t>
      </w:r>
    </w:p>
    <w:p>
      <w:pPr>
        <w:pStyle w:val="5"/>
        <w:widowControl/>
        <w:shd w:val="clear" w:color="auto" w:fill="FFFFFF"/>
        <w:spacing w:beforeAutospacing="0" w:afterAutospacing="0" w:line="560" w:lineRule="exact"/>
        <w:ind w:firstLine="602" w:firstLineChars="200"/>
        <w:rPr>
          <w:rFonts w:ascii="仿宋" w:hAnsi="仿宋" w:eastAsia="仿宋" w:cs="仿宋"/>
          <w:sz w:val="30"/>
          <w:szCs w:val="30"/>
        </w:rPr>
      </w:pPr>
      <w:r>
        <w:rPr>
          <w:rFonts w:hint="eastAsia" w:ascii="仿宋" w:hAnsi="仿宋" w:eastAsia="仿宋" w:cs="仿宋_GB2312"/>
          <w:b/>
          <w:bCs/>
          <w:sz w:val="30"/>
          <w:szCs w:val="30"/>
        </w:rPr>
        <w:t>2.第（二）条</w:t>
      </w:r>
      <w:r>
        <w:rPr>
          <w:rFonts w:hint="eastAsia" w:ascii="仿宋" w:hAnsi="仿宋" w:eastAsia="仿宋" w:cs="仿宋"/>
          <w:sz w:val="30"/>
          <w:szCs w:val="30"/>
        </w:rPr>
        <w:t>“支持商协会抱团参展”：对一定规模的抱团参展的项目，按照境内外重点展标准给予摊位费补贴，并补贴50%特装费。</w:t>
      </w:r>
    </w:p>
    <w:p>
      <w:pPr>
        <w:widowControl/>
        <w:spacing w:line="560" w:lineRule="exact"/>
        <w:ind w:firstLine="602" w:firstLineChars="200"/>
        <w:rPr>
          <w:rFonts w:ascii="仿宋" w:hAnsi="仿宋" w:eastAsia="仿宋" w:cs="仿宋"/>
          <w:sz w:val="30"/>
          <w:szCs w:val="30"/>
        </w:rPr>
      </w:pPr>
      <w:r>
        <w:rPr>
          <w:rFonts w:hint="eastAsia" w:ascii="仿宋" w:hAnsi="仿宋" w:eastAsia="仿宋" w:cs="仿宋_GB2312"/>
          <w:b/>
          <w:bCs/>
          <w:sz w:val="30"/>
          <w:szCs w:val="30"/>
        </w:rPr>
        <w:t>3.第（三）条</w:t>
      </w:r>
      <w:r>
        <w:rPr>
          <w:rFonts w:hint="eastAsia" w:ascii="仿宋" w:hAnsi="仿宋" w:eastAsia="仿宋" w:cs="仿宋"/>
          <w:sz w:val="30"/>
          <w:szCs w:val="30"/>
        </w:rPr>
        <w:t>支持获得海关AEO高级认证。对当年新通过海关AEO高级认证的企业，给予一次性奖励20万元。</w:t>
      </w:r>
    </w:p>
    <w:p>
      <w:pPr>
        <w:spacing w:line="560" w:lineRule="exact"/>
        <w:ind w:firstLine="602" w:firstLineChars="200"/>
        <w:rPr>
          <w:rFonts w:ascii="仿宋" w:hAnsi="仿宋" w:eastAsia="仿宋" w:cs="仿宋"/>
          <w:sz w:val="30"/>
          <w:szCs w:val="30"/>
        </w:rPr>
      </w:pPr>
      <w:r>
        <w:rPr>
          <w:rFonts w:hint="eastAsia" w:ascii="仿宋" w:hAnsi="仿宋" w:eastAsia="仿宋" w:cs="仿宋_GB2312"/>
          <w:b/>
          <w:bCs/>
          <w:sz w:val="30"/>
          <w:szCs w:val="30"/>
        </w:rPr>
        <w:t>4.第（四）条</w:t>
      </w:r>
      <w:r>
        <w:rPr>
          <w:rFonts w:hint="eastAsia" w:ascii="仿宋" w:hAnsi="仿宋" w:eastAsia="仿宋" w:cs="仿宋"/>
          <w:sz w:val="30"/>
          <w:szCs w:val="30"/>
        </w:rPr>
        <w:t>鼓励外贸企业做大做强。对当年自营出口额3000万元以上，增速达到全区出口平均增速的企业给予出口增量奖励。</w:t>
      </w:r>
    </w:p>
    <w:p>
      <w:pPr>
        <w:pStyle w:val="2"/>
        <w:spacing w:line="560" w:lineRule="exact"/>
        <w:ind w:firstLine="602" w:firstLineChars="200"/>
        <w:rPr>
          <w:rFonts w:ascii="仿宋" w:hAnsi="仿宋" w:eastAsia="仿宋" w:cs="仿宋_GB2312"/>
          <w:sz w:val="30"/>
          <w:szCs w:val="30"/>
        </w:rPr>
      </w:pPr>
      <w:r>
        <w:rPr>
          <w:rFonts w:hint="eastAsia" w:ascii="仿宋" w:hAnsi="仿宋" w:eastAsia="仿宋" w:cs="仿宋_GB2312"/>
          <w:b/>
          <w:bCs/>
          <w:sz w:val="30"/>
          <w:szCs w:val="30"/>
        </w:rPr>
        <w:t>5.第（五）条</w:t>
      </w:r>
      <w:r>
        <w:rPr>
          <w:rFonts w:hint="eastAsia" w:ascii="仿宋" w:hAnsi="仿宋" w:eastAsia="仿宋" w:cs="仿宋_GB2312"/>
          <w:sz w:val="30"/>
          <w:szCs w:val="30"/>
        </w:rPr>
        <w:t>鼓励机电、高新产品和农产品出口。对年度机电产品、高新产品、农产品出口额达到1亿元、2000万元和1500万元，增速达到全区平均增速的企业给予一次性奖励。</w:t>
      </w:r>
    </w:p>
    <w:p>
      <w:pPr>
        <w:pStyle w:val="2"/>
        <w:spacing w:line="560" w:lineRule="exact"/>
        <w:ind w:firstLine="602" w:firstLineChars="200"/>
        <w:rPr>
          <w:rFonts w:ascii="仿宋" w:hAnsi="仿宋" w:eastAsia="仿宋" w:cs="仿宋_GB2312"/>
          <w:kern w:val="0"/>
          <w:sz w:val="30"/>
          <w:szCs w:val="30"/>
        </w:rPr>
      </w:pPr>
      <w:r>
        <w:rPr>
          <w:rFonts w:hint="eastAsia" w:ascii="仿宋" w:hAnsi="仿宋" w:eastAsia="仿宋" w:cs="仿宋_GB2312"/>
          <w:b/>
          <w:bCs/>
          <w:sz w:val="30"/>
          <w:szCs w:val="30"/>
        </w:rPr>
        <w:t>6.第（六）条</w:t>
      </w:r>
      <w:r>
        <w:rPr>
          <w:rFonts w:hint="eastAsia" w:ascii="仿宋" w:hAnsi="仿宋" w:eastAsia="仿宋" w:cs="仿宋_GB2312"/>
          <w:sz w:val="30"/>
          <w:szCs w:val="30"/>
        </w:rPr>
        <w:t>支持出口品牌培育。对出口企业创立自主品牌并</w:t>
      </w:r>
      <w:r>
        <w:rPr>
          <w:rFonts w:hint="eastAsia" w:ascii="仿宋" w:hAnsi="仿宋" w:eastAsia="仿宋" w:cs="仿宋_GB2312"/>
          <w:kern w:val="0"/>
          <w:sz w:val="30"/>
          <w:szCs w:val="30"/>
        </w:rPr>
        <w:t>首次获得省级、市级出口名牌的企业，给予一定补助。</w:t>
      </w:r>
    </w:p>
    <w:p>
      <w:pPr>
        <w:pStyle w:val="2"/>
        <w:spacing w:line="560" w:lineRule="exact"/>
        <w:ind w:firstLine="602" w:firstLineChars="200"/>
        <w:rPr>
          <w:rFonts w:ascii="仿宋" w:hAnsi="仿宋" w:eastAsia="仿宋" w:cs="仿宋_GB2312"/>
          <w:sz w:val="30"/>
          <w:szCs w:val="30"/>
        </w:rPr>
      </w:pPr>
      <w:r>
        <w:rPr>
          <w:rFonts w:hint="eastAsia" w:ascii="仿宋" w:hAnsi="仿宋" w:eastAsia="仿宋" w:cs="仿宋_GB2312"/>
          <w:b/>
          <w:bCs/>
          <w:sz w:val="30"/>
          <w:szCs w:val="30"/>
        </w:rPr>
        <w:t>7.第（七）条</w:t>
      </w:r>
      <w:r>
        <w:rPr>
          <w:rFonts w:hint="eastAsia" w:ascii="仿宋" w:hAnsi="仿宋" w:eastAsia="仿宋" w:cs="仿宋_GB2312"/>
          <w:sz w:val="30"/>
          <w:szCs w:val="30"/>
        </w:rPr>
        <w:t>鼓励发展加工贸易。</w:t>
      </w:r>
      <w:r>
        <w:rPr>
          <w:rFonts w:hint="eastAsia" w:ascii="仿宋" w:hAnsi="仿宋" w:eastAsia="仿宋" w:cs="仿宋_GB2312"/>
          <w:kern w:val="0"/>
          <w:sz w:val="30"/>
          <w:szCs w:val="30"/>
        </w:rPr>
        <w:t>对当年加工贸易出口额达到1000万元及以上且同比增速高于全区外贸出口平均增速的企业，予以鼓励。</w:t>
      </w:r>
    </w:p>
    <w:p>
      <w:pPr>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 xml:space="preserve">8.第（八）条 </w:t>
      </w:r>
      <w:r>
        <w:rPr>
          <w:rFonts w:hint="eastAsia" w:ascii="仿宋" w:hAnsi="仿宋" w:eastAsia="仿宋" w:cs="仿宋_GB2312"/>
          <w:sz w:val="30"/>
          <w:szCs w:val="30"/>
        </w:rPr>
        <w:t>鼓励扩大进口。对当年自营进口额1000万美元及以上、同比增速不低于全区自营进口平均增速的企业，进行进口额奖励。给予国家和省级进口贴息资助的配套奖励。对当年度获得国家级、省级称号的，分别给予一次性奖励。</w:t>
      </w:r>
    </w:p>
    <w:p>
      <w:pPr>
        <w:widowControl/>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9. 第（九）条</w:t>
      </w:r>
      <w:r>
        <w:rPr>
          <w:rFonts w:hint="eastAsia" w:ascii="仿宋" w:hAnsi="仿宋" w:eastAsia="仿宋" w:cs="仿宋_GB2312"/>
          <w:bCs/>
          <w:sz w:val="30"/>
          <w:szCs w:val="30"/>
        </w:rPr>
        <w:t>支持外贸服务平台建设。</w:t>
      </w:r>
      <w:r>
        <w:rPr>
          <w:rFonts w:hint="eastAsia" w:ascii="仿宋" w:hAnsi="仿宋" w:eastAsia="仿宋" w:cs="仿宋_GB2312"/>
          <w:sz w:val="30"/>
          <w:szCs w:val="30"/>
        </w:rPr>
        <w:t>对新获市级、省级及以上称号的外贸综合服务企业，获得上级补助的，给予1:1配套奖励</w:t>
      </w:r>
      <w:r>
        <w:rPr>
          <w:rFonts w:hint="eastAsia" w:ascii="仿宋" w:hAnsi="仿宋" w:eastAsia="仿宋"/>
          <w:sz w:val="30"/>
          <w:szCs w:val="30"/>
        </w:rPr>
        <w:t>鼓励企业设立公共海外仓，除上级扶持资金外，对新获省级及以上称号、市级称号的公用型海外仓，给予一定补助</w:t>
      </w:r>
      <w:r>
        <w:rPr>
          <w:rFonts w:hint="eastAsia" w:ascii="仿宋" w:hAnsi="仿宋" w:eastAsia="仿宋" w:cs="仿宋_GB2312"/>
          <w:sz w:val="30"/>
          <w:szCs w:val="30"/>
        </w:rPr>
        <w:t>。</w:t>
      </w:r>
    </w:p>
    <w:p>
      <w:pPr>
        <w:widowControl/>
        <w:spacing w:line="560" w:lineRule="exact"/>
        <w:ind w:firstLine="602" w:firstLineChars="200"/>
        <w:rPr>
          <w:rFonts w:ascii="仿宋" w:hAnsi="仿宋" w:eastAsia="仿宋" w:cs="仿宋_GB2312"/>
          <w:sz w:val="30"/>
          <w:szCs w:val="30"/>
        </w:rPr>
      </w:pPr>
      <w:r>
        <w:rPr>
          <w:rFonts w:hint="eastAsia" w:ascii="仿宋" w:hAnsi="仿宋" w:eastAsia="仿宋" w:cs="仿宋_GB2312"/>
          <w:b/>
          <w:bCs/>
          <w:sz w:val="30"/>
          <w:szCs w:val="30"/>
        </w:rPr>
        <w:t>10.第（十）条</w:t>
      </w:r>
      <w:r>
        <w:rPr>
          <w:rStyle w:val="8"/>
          <w:rFonts w:hint="eastAsia" w:ascii="仿宋" w:hAnsi="仿宋" w:eastAsia="仿宋" w:cs="仿宋_GB2312"/>
          <w:b w:val="0"/>
          <w:sz w:val="30"/>
          <w:szCs w:val="30"/>
        </w:rPr>
        <w:t>支持防范外贸风险。</w:t>
      </w:r>
      <w:r>
        <w:rPr>
          <w:rFonts w:hint="eastAsia" w:ascii="仿宋" w:hAnsi="仿宋" w:eastAsia="仿宋" w:cs="仿宋_GB2312"/>
          <w:sz w:val="30"/>
          <w:szCs w:val="30"/>
        </w:rPr>
        <w:t>对上年度出口额500万美元及以下出口企业，参加政府联保平台出口信用保险的保费，给予全额补助；对自行投保出口信用保险的企业（不限出口额），按实际支付保费的65%给予补助。</w:t>
      </w:r>
    </w:p>
    <w:p>
      <w:pPr>
        <w:widowControl/>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11.第（十一）条</w:t>
      </w:r>
      <w:r>
        <w:rPr>
          <w:rFonts w:hint="eastAsia" w:ascii="仿宋" w:hAnsi="仿宋" w:eastAsia="仿宋" w:cs="仿宋_GB2312"/>
          <w:sz w:val="30"/>
          <w:szCs w:val="30"/>
        </w:rPr>
        <w:t>支持应对贸易摩擦。对参加国外反倾销、反补贴等贸易摩擦有关案件应诉、发起或参与发起对外贸易救济调查案件的企业或商协会，给予一定比例律师费补贴。</w:t>
      </w:r>
    </w:p>
    <w:p>
      <w:pPr>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12.第（十二）条</w:t>
      </w:r>
      <w:r>
        <w:rPr>
          <w:rStyle w:val="8"/>
          <w:rFonts w:hint="eastAsia" w:ascii="仿宋" w:hAnsi="仿宋" w:eastAsia="仿宋" w:cs="仿宋_GB2312"/>
          <w:b w:val="0"/>
          <w:sz w:val="30"/>
          <w:szCs w:val="30"/>
        </w:rPr>
        <w:t>支持企业开展境外认证。</w:t>
      </w:r>
      <w:r>
        <w:rPr>
          <w:rFonts w:hint="eastAsia" w:ascii="仿宋" w:hAnsi="仿宋" w:eastAsia="仿宋" w:cs="仿宋_GB2312"/>
          <w:sz w:val="30"/>
          <w:szCs w:val="30"/>
        </w:rPr>
        <w:t>对当年度获得各类企业管理体系认证、境外商标注册、境外专利申请的企业，给予核定（认证、注册、申请）费用一定比例的补助。</w:t>
      </w:r>
    </w:p>
    <w:p>
      <w:pPr>
        <w:widowControl/>
        <w:spacing w:line="560" w:lineRule="exact"/>
        <w:ind w:firstLine="602" w:firstLineChars="200"/>
        <w:rPr>
          <w:rFonts w:ascii="仿宋" w:hAnsi="仿宋" w:eastAsia="仿宋" w:cs="仿宋_GB2312"/>
          <w:sz w:val="30"/>
          <w:szCs w:val="30"/>
        </w:rPr>
      </w:pPr>
      <w:r>
        <w:rPr>
          <w:rFonts w:hint="eastAsia" w:ascii="仿宋" w:hAnsi="仿宋" w:eastAsia="仿宋" w:cs="仿宋_GB2312"/>
          <w:b/>
          <w:bCs/>
          <w:sz w:val="30"/>
          <w:szCs w:val="30"/>
        </w:rPr>
        <w:t>13.第（十三）条</w:t>
      </w:r>
      <w:r>
        <w:rPr>
          <w:rFonts w:hint="eastAsia" w:ascii="仿宋" w:hAnsi="仿宋" w:eastAsia="仿宋" w:cs="仿宋_GB2312"/>
          <w:bCs/>
          <w:sz w:val="30"/>
          <w:szCs w:val="30"/>
        </w:rPr>
        <w:t>支持区域品牌宣传</w:t>
      </w:r>
      <w:r>
        <w:rPr>
          <w:rFonts w:hint="eastAsia" w:ascii="仿宋" w:hAnsi="仿宋" w:eastAsia="仿宋" w:cs="仿宋_GB2312"/>
          <w:b/>
          <w:bCs/>
          <w:sz w:val="30"/>
          <w:szCs w:val="30"/>
        </w:rPr>
        <w:t>。</w:t>
      </w:r>
      <w:r>
        <w:rPr>
          <w:rFonts w:hint="eastAsia" w:ascii="仿宋" w:hAnsi="仿宋" w:eastAsia="仿宋" w:cs="仿宋_GB2312"/>
          <w:sz w:val="30"/>
          <w:szCs w:val="30"/>
        </w:rPr>
        <w:t>对参展拓市场的区域品牌宣传推广所涉及的相关费用由区财政全额扶持或结合省切块资金全额扶持，每次不超过人民币60万元。</w:t>
      </w:r>
    </w:p>
    <w:p>
      <w:pPr>
        <w:widowControl/>
        <w:spacing w:line="560" w:lineRule="exact"/>
        <w:ind w:firstLine="602" w:firstLineChars="200"/>
        <w:rPr>
          <w:rFonts w:ascii="仿宋" w:hAnsi="仿宋" w:eastAsia="仿宋" w:cs="仿宋_GB2312"/>
          <w:sz w:val="30"/>
          <w:szCs w:val="30"/>
        </w:rPr>
      </w:pPr>
      <w:r>
        <w:rPr>
          <w:rFonts w:hint="eastAsia" w:ascii="仿宋" w:hAnsi="仿宋" w:eastAsia="仿宋" w:cs="仿宋_GB2312"/>
          <w:b/>
          <w:bCs/>
          <w:sz w:val="30"/>
          <w:szCs w:val="30"/>
        </w:rPr>
        <w:t>14.第（十四）条</w:t>
      </w:r>
      <w:r>
        <w:rPr>
          <w:rFonts w:hint="eastAsia" w:ascii="仿宋" w:hAnsi="仿宋" w:eastAsia="仿宋" w:cs="仿宋_GB2312"/>
          <w:bCs/>
          <w:sz w:val="30"/>
          <w:szCs w:val="30"/>
        </w:rPr>
        <w:t>支持企业属地报关</w:t>
      </w:r>
      <w:r>
        <w:rPr>
          <w:rFonts w:hint="eastAsia" w:ascii="仿宋" w:hAnsi="仿宋" w:eastAsia="仿宋" w:cs="仿宋_GB2312"/>
          <w:b/>
          <w:bCs/>
          <w:sz w:val="30"/>
          <w:szCs w:val="30"/>
        </w:rPr>
        <w:t>。</w:t>
      </w:r>
      <w:r>
        <w:rPr>
          <w:rFonts w:hint="eastAsia" w:ascii="仿宋" w:hAnsi="仿宋" w:eastAsia="仿宋" w:cs="仿宋_GB2312"/>
          <w:sz w:val="30"/>
          <w:szCs w:val="30"/>
        </w:rPr>
        <w:t>对本区进出口企业在属地报关的，给予每标箱人民币30元的补助。</w:t>
      </w:r>
    </w:p>
    <w:p>
      <w:pPr>
        <w:spacing w:line="560" w:lineRule="exact"/>
        <w:ind w:firstLine="602" w:firstLineChars="200"/>
        <w:rPr>
          <w:rFonts w:ascii="仿宋" w:hAnsi="仿宋" w:eastAsia="仿宋" w:cs="仿宋_GB2312"/>
          <w:sz w:val="30"/>
          <w:szCs w:val="30"/>
        </w:rPr>
      </w:pPr>
      <w:r>
        <w:rPr>
          <w:rFonts w:hint="eastAsia" w:ascii="仿宋" w:hAnsi="仿宋" w:eastAsia="仿宋" w:cs="仿宋_GB2312"/>
          <w:b/>
          <w:bCs/>
          <w:sz w:val="30"/>
          <w:szCs w:val="30"/>
        </w:rPr>
        <w:t>15.第（十五）条</w:t>
      </w:r>
      <w:r>
        <w:rPr>
          <w:rFonts w:hint="eastAsia" w:ascii="仿宋" w:hAnsi="仿宋" w:eastAsia="仿宋" w:cs="仿宋_GB2312"/>
          <w:bCs/>
          <w:sz w:val="30"/>
          <w:szCs w:val="30"/>
        </w:rPr>
        <w:t>支持市场采购贸易</w:t>
      </w:r>
      <w:r>
        <w:rPr>
          <w:rFonts w:hint="eastAsia" w:ascii="仿宋" w:hAnsi="仿宋" w:eastAsia="仿宋" w:cs="仿宋_GB2312"/>
          <w:b/>
          <w:bCs/>
          <w:sz w:val="30"/>
          <w:szCs w:val="30"/>
        </w:rPr>
        <w:t>。</w:t>
      </w:r>
      <w:r>
        <w:rPr>
          <w:rFonts w:hint="eastAsia" w:ascii="仿宋" w:hAnsi="仿宋" w:eastAsia="仿宋" w:cs="仿宋_GB2312"/>
          <w:sz w:val="30"/>
          <w:szCs w:val="30"/>
        </w:rPr>
        <w:t>鼓励发展市场采购贸易，支持企业通过绍兴市市场采购贸易方式试点出口。</w:t>
      </w:r>
    </w:p>
    <w:p>
      <w:pPr>
        <w:widowControl/>
        <w:shd w:val="clear" w:color="auto" w:fill="FFFFFF"/>
        <w:autoSpaceDE w:val="0"/>
        <w:spacing w:line="560" w:lineRule="exact"/>
        <w:ind w:firstLine="602" w:firstLineChars="200"/>
        <w:rPr>
          <w:rFonts w:ascii="仿宋" w:hAnsi="仿宋" w:eastAsia="仿宋" w:cs="仿宋_GB2312"/>
          <w:sz w:val="30"/>
          <w:szCs w:val="30"/>
        </w:rPr>
      </w:pPr>
      <w:r>
        <w:rPr>
          <w:rFonts w:hint="eastAsia" w:ascii="仿宋" w:hAnsi="仿宋" w:eastAsia="仿宋" w:cs="仿宋_GB2312"/>
          <w:b/>
          <w:bCs/>
          <w:sz w:val="30"/>
          <w:szCs w:val="30"/>
        </w:rPr>
        <w:t>16.第（十六）条</w:t>
      </w:r>
      <w:r>
        <w:rPr>
          <w:rFonts w:hint="eastAsia" w:ascii="仿宋" w:hAnsi="仿宋" w:eastAsia="仿宋" w:cs="仿宋_GB2312"/>
          <w:sz w:val="30"/>
          <w:szCs w:val="30"/>
        </w:rPr>
        <w:t>支持外贸预警示范点建设。对考核合格（包括初评、复评）的省级预警示范点项目的组织单位进行补助。</w:t>
      </w:r>
    </w:p>
    <w:p>
      <w:pPr>
        <w:widowControl/>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17.第（十七）条</w:t>
      </w:r>
      <w:r>
        <w:rPr>
          <w:rFonts w:hint="eastAsia" w:ascii="仿宋" w:hAnsi="仿宋" w:eastAsia="仿宋" w:cs="仿宋_GB2312"/>
          <w:sz w:val="30"/>
          <w:szCs w:val="30"/>
        </w:rPr>
        <w:t>支持外经贸运行监测点建设。对通过省商务厅批准设立的外经贸运行监测点进行补助。</w:t>
      </w:r>
    </w:p>
    <w:p>
      <w:pPr>
        <w:widowControl/>
        <w:shd w:val="clear" w:color="auto" w:fill="FFFFFF"/>
        <w:autoSpaceDE w:val="0"/>
        <w:spacing w:line="560" w:lineRule="exact"/>
        <w:ind w:firstLine="602" w:firstLineChars="200"/>
        <w:rPr>
          <w:rFonts w:ascii="仿宋" w:hAnsi="仿宋" w:eastAsia="仿宋" w:cs="仿宋_GB2312"/>
          <w:sz w:val="30"/>
          <w:szCs w:val="30"/>
        </w:rPr>
      </w:pPr>
      <w:r>
        <w:rPr>
          <w:rFonts w:hint="eastAsia" w:ascii="仿宋" w:hAnsi="仿宋" w:eastAsia="仿宋" w:cs="仿宋_GB2312"/>
          <w:b/>
          <w:bCs/>
          <w:sz w:val="30"/>
          <w:szCs w:val="30"/>
        </w:rPr>
        <w:t>18.第（十八）条</w:t>
      </w:r>
      <w:r>
        <w:rPr>
          <w:rFonts w:hint="eastAsia" w:ascii="仿宋" w:hAnsi="仿宋" w:eastAsia="仿宋" w:cs="仿宋_GB2312"/>
          <w:bCs/>
          <w:sz w:val="30"/>
          <w:szCs w:val="30"/>
        </w:rPr>
        <w:t>支持引育优质外贸企业</w:t>
      </w:r>
      <w:r>
        <w:rPr>
          <w:rFonts w:hint="eastAsia" w:ascii="仿宋" w:hAnsi="仿宋" w:eastAsia="仿宋" w:cs="仿宋_GB2312"/>
          <w:b/>
          <w:bCs/>
          <w:sz w:val="30"/>
          <w:szCs w:val="30"/>
        </w:rPr>
        <w:t>。</w:t>
      </w:r>
      <w:r>
        <w:rPr>
          <w:rFonts w:hint="eastAsia" w:ascii="仿宋" w:hAnsi="仿宋" w:eastAsia="仿宋" w:cs="仿宋_GB2312"/>
          <w:sz w:val="30"/>
          <w:szCs w:val="30"/>
        </w:rPr>
        <w:t>鼓励工贸一体型企业在我区设立采购总部或进出口公司，</w:t>
      </w:r>
      <w:r>
        <w:rPr>
          <w:rFonts w:ascii="仿宋" w:hAnsi="仿宋" w:eastAsia="仿宋" w:cs="仿宋_GB2312"/>
          <w:sz w:val="30"/>
          <w:szCs w:val="30"/>
        </w:rPr>
        <w:t>对符合我区产业导向的项目，在财政、土地、能耗、排放、金融等方面给予保障。</w:t>
      </w:r>
      <w:r>
        <w:rPr>
          <w:rFonts w:hint="eastAsia" w:ascii="仿宋" w:hAnsi="仿宋" w:eastAsia="仿宋" w:cs="仿宋_GB2312"/>
          <w:sz w:val="30"/>
          <w:szCs w:val="30"/>
        </w:rPr>
        <w:t>对</w:t>
      </w:r>
      <w:r>
        <w:rPr>
          <w:rFonts w:ascii="仿宋" w:hAnsi="仿宋" w:eastAsia="仿宋" w:cs="仿宋_GB2312"/>
          <w:sz w:val="30"/>
          <w:szCs w:val="30"/>
        </w:rPr>
        <w:t>区</w:t>
      </w:r>
      <w:r>
        <w:rPr>
          <w:rFonts w:hint="eastAsia" w:ascii="仿宋" w:hAnsi="仿宋" w:eastAsia="仿宋" w:cs="仿宋_GB2312"/>
          <w:sz w:val="30"/>
          <w:szCs w:val="30"/>
        </w:rPr>
        <w:t>级以上重大项目当年度自营出口额分档奖励。支持总部型外贸企业回流进出口业务和订单。</w:t>
      </w:r>
    </w:p>
    <w:p>
      <w:pPr>
        <w:pStyle w:val="5"/>
        <w:widowControl/>
        <w:spacing w:beforeAutospacing="0" w:afterAutospacing="0" w:line="560" w:lineRule="exact"/>
        <w:ind w:firstLine="602"/>
        <w:jc w:val="both"/>
        <w:rPr>
          <w:rFonts w:ascii="仿宋" w:hAnsi="仿宋" w:eastAsia="仿宋" w:cs="仿宋_GB2312"/>
          <w:b/>
          <w:strike/>
          <w:sz w:val="30"/>
          <w:szCs w:val="30"/>
        </w:rPr>
      </w:pPr>
      <w:r>
        <w:rPr>
          <w:rFonts w:hint="eastAsia" w:ascii="仿宋" w:hAnsi="仿宋" w:eastAsia="仿宋" w:cs="仿宋_GB2312"/>
          <w:b/>
          <w:bCs/>
          <w:sz w:val="30"/>
          <w:szCs w:val="30"/>
        </w:rPr>
        <w:t>19.第（十九）条</w:t>
      </w:r>
      <w:r>
        <w:rPr>
          <w:rStyle w:val="8"/>
          <w:rFonts w:hint="eastAsia" w:ascii="仿宋" w:hAnsi="仿宋" w:eastAsia="仿宋" w:cs="仿宋_GB2312"/>
          <w:b w:val="0"/>
          <w:sz w:val="30"/>
          <w:szCs w:val="30"/>
        </w:rPr>
        <w:t>支持外贸转型升级基地建设</w:t>
      </w:r>
      <w:r>
        <w:rPr>
          <w:rStyle w:val="8"/>
          <w:rFonts w:hint="eastAsia" w:ascii="仿宋" w:hAnsi="仿宋" w:eastAsia="仿宋" w:cs="仿宋_GB2312"/>
          <w:sz w:val="30"/>
          <w:szCs w:val="30"/>
        </w:rPr>
        <w:t>。</w:t>
      </w:r>
      <w:r>
        <w:rPr>
          <w:rFonts w:hint="eastAsia" w:ascii="仿宋" w:hAnsi="仿宋" w:eastAsia="仿宋" w:cs="仿宋_GB2312"/>
          <w:sz w:val="30"/>
          <w:szCs w:val="30"/>
        </w:rPr>
        <w:t>对首次获评国家级外贸转型升级基地的，获得上级补助的，给予1:1配套奖励。</w:t>
      </w:r>
    </w:p>
    <w:p>
      <w:pPr>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20.第（二十）条</w:t>
      </w:r>
      <w:r>
        <w:rPr>
          <w:rFonts w:hint="eastAsia" w:ascii="仿宋" w:hAnsi="仿宋" w:eastAsia="仿宋" w:cs="仿宋_GB2312"/>
          <w:sz w:val="30"/>
          <w:szCs w:val="30"/>
        </w:rPr>
        <w:t>支持企业开展离岸服务外包业务。对在商务部注册且当年有离岸服务外包实绩的企业进行奖励。对服务外包企业当年度开展离岸外包执行额进行奖励。</w:t>
      </w:r>
    </w:p>
    <w:p>
      <w:pPr>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21.第（二十一）条</w:t>
      </w:r>
      <w:r>
        <w:rPr>
          <w:rFonts w:hint="eastAsia" w:ascii="仿宋" w:hAnsi="仿宋" w:eastAsia="仿宋" w:cs="仿宋_GB2312"/>
          <w:sz w:val="30"/>
          <w:szCs w:val="30"/>
        </w:rPr>
        <w:t>支持服务贸易发展平台。对被省级及以上商务部门认定为服务贸易发展基地（园区）的，给予一次性奖励。</w:t>
      </w:r>
    </w:p>
    <w:p>
      <w:pPr>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22.第（二十二）条</w:t>
      </w:r>
      <w:r>
        <w:rPr>
          <w:rFonts w:hint="eastAsia" w:ascii="仿宋" w:hAnsi="仿宋" w:eastAsia="仿宋"/>
          <w:color w:val="171A1D"/>
          <w:sz w:val="30"/>
          <w:szCs w:val="30"/>
          <w:shd w:val="clear" w:color="auto" w:fill="FFFFFF"/>
        </w:rPr>
        <w:t>支持企业开展跨境电子商务业务。对当年新开跨境电子商务B2C店铺且单店交易额达到3万美元或当年在主流平台新开跨境 B2B店铺且有跨境电商监管方式出口实绩的，予以鼓励。对当年有跨境电商监管方式出口实绩的企业，开设独立站且有线上独立站销售业绩或利用阿里巴巴国际站、中国制造网等主流平台开展境外推广，予以鼓励。</w:t>
      </w:r>
    </w:p>
    <w:p>
      <w:pPr>
        <w:adjustRightInd w:val="0"/>
        <w:snapToGrid w:val="0"/>
        <w:spacing w:line="560" w:lineRule="exact"/>
        <w:ind w:firstLine="602" w:firstLineChars="200"/>
        <w:rPr>
          <w:rFonts w:ascii="仿宋" w:hAnsi="仿宋" w:eastAsia="仿宋" w:cs="仿宋_GB2312"/>
          <w:sz w:val="30"/>
          <w:szCs w:val="30"/>
        </w:rPr>
      </w:pPr>
      <w:r>
        <w:rPr>
          <w:rFonts w:hint="eastAsia" w:ascii="仿宋" w:hAnsi="仿宋" w:eastAsia="仿宋" w:cs="仿宋_GB2312"/>
          <w:b/>
          <w:bCs/>
          <w:sz w:val="30"/>
          <w:szCs w:val="30"/>
        </w:rPr>
        <w:t>23.第（二十三）条</w:t>
      </w:r>
      <w:r>
        <w:rPr>
          <w:rFonts w:hint="eastAsia" w:ascii="仿宋" w:hAnsi="仿宋" w:eastAsia="仿宋"/>
          <w:color w:val="171A1D"/>
          <w:sz w:val="30"/>
          <w:szCs w:val="30"/>
          <w:shd w:val="clear" w:color="auto" w:fill="FFFFFF"/>
        </w:rPr>
        <w:t xml:space="preserve">支持建设跨境电子商务产业园。对符合条件的跨境电商园区，予以园区运营方一定补助。 </w:t>
      </w:r>
      <w:r>
        <w:rPr>
          <w:rFonts w:hint="eastAsia" w:ascii="仿宋" w:hAnsi="仿宋" w:eastAsia="仿宋" w:cs="仿宋_GB2312"/>
          <w:sz w:val="30"/>
          <w:szCs w:val="30"/>
        </w:rPr>
        <w:t xml:space="preserve">             </w:t>
      </w:r>
    </w:p>
    <w:p>
      <w:pPr>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24.第（二十四）条</w:t>
      </w:r>
      <w:r>
        <w:rPr>
          <w:rFonts w:hint="eastAsia" w:ascii="仿宋" w:hAnsi="仿宋" w:eastAsia="仿宋"/>
          <w:color w:val="171A1D"/>
          <w:sz w:val="30"/>
          <w:szCs w:val="30"/>
          <w:shd w:val="clear" w:color="auto" w:fill="FFFFFF"/>
        </w:rPr>
        <w:t>支持企业扩大跨境电子商务出口。对在跨境电子商 务综合试验区线上综合服务平台注册并纳入海关统计（海关监管方式 9710、9810 项下）的年跨境电商出口额首次达100万美元以上（含）的企业，予以鼓励。</w:t>
      </w:r>
    </w:p>
    <w:p>
      <w:pPr>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25.第（二十五）条</w:t>
      </w:r>
      <w:r>
        <w:rPr>
          <w:rFonts w:hint="eastAsia" w:ascii="仿宋" w:hAnsi="仿宋" w:eastAsia="仿宋"/>
          <w:color w:val="171A1D"/>
          <w:sz w:val="30"/>
          <w:szCs w:val="30"/>
          <w:shd w:val="clear" w:color="auto" w:fill="FFFFFF"/>
        </w:rPr>
        <w:t>支持高等院校开展跨境电子商务专业教育。对经教育部门批准新设置跨境电子商务专业（方向）并纳入高等院校统一招生计划且每年招生人数不低于30人的在绍高校，给予资金扶持 30 万元。新设立符合条件的实体跨境电子商务学院（分院）且在院（分院）人数不少于800人的在绍高校，给予资金扶持80万元。</w:t>
      </w:r>
    </w:p>
    <w:p>
      <w:pPr>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26.第（二十六）条</w:t>
      </w:r>
      <w:r>
        <w:rPr>
          <w:rFonts w:hint="eastAsia" w:ascii="仿宋" w:hAnsi="仿宋" w:eastAsia="仿宋"/>
          <w:color w:val="171A1D"/>
          <w:sz w:val="30"/>
          <w:szCs w:val="30"/>
          <w:shd w:val="clear" w:color="auto" w:fill="FFFFFF"/>
        </w:rPr>
        <w:t>鼓励企业开展跨境电商培训。对组织职工进修跨境电商类培训的企业，按培训机构收取费用的50%给予补助，每家企业不超过3万元。</w:t>
      </w:r>
    </w:p>
    <w:p>
      <w:pPr>
        <w:spacing w:line="520" w:lineRule="exact"/>
        <w:ind w:firstLine="602" w:firstLineChars="200"/>
        <w:jc w:val="left"/>
        <w:rPr>
          <w:rFonts w:ascii="仿宋" w:hAnsi="仿宋" w:eastAsia="仿宋" w:cs="仿宋_GB2312"/>
          <w:sz w:val="30"/>
          <w:szCs w:val="30"/>
        </w:rPr>
      </w:pPr>
      <w:r>
        <w:rPr>
          <w:rFonts w:hint="eastAsia" w:ascii="仿宋" w:hAnsi="仿宋" w:eastAsia="仿宋" w:cs="仿宋_GB2312"/>
          <w:b/>
          <w:bCs/>
          <w:sz w:val="30"/>
          <w:szCs w:val="30"/>
        </w:rPr>
        <w:t>27.第（二十七）条</w:t>
      </w:r>
      <w:r>
        <w:rPr>
          <w:rFonts w:hint="eastAsia" w:ascii="仿宋" w:hAnsi="仿宋" w:eastAsia="仿宋"/>
          <w:color w:val="171A1D"/>
          <w:sz w:val="30"/>
          <w:szCs w:val="30"/>
          <w:shd w:val="clear" w:color="auto" w:fill="FFFFFF"/>
        </w:rPr>
        <w:t>鼓励跨境电子商务示范创建。对获得国家级、省级跨境电子商务荣誉称号的企业（包括跨境电商产业园、跨境电商出口名牌等），分别奖励10万元、5万元（单个企业每年最多补助1次）。</w:t>
      </w:r>
    </w:p>
    <w:p>
      <w:pPr>
        <w:spacing w:line="520" w:lineRule="exact"/>
        <w:ind w:firstLine="602" w:firstLineChars="200"/>
        <w:jc w:val="left"/>
        <w:rPr>
          <w:rFonts w:ascii="仿宋" w:hAnsi="仿宋" w:eastAsia="仿宋" w:cs="仿宋_GB2312"/>
          <w:sz w:val="30"/>
          <w:szCs w:val="30"/>
        </w:rPr>
      </w:pPr>
      <w:r>
        <w:rPr>
          <w:rFonts w:hint="eastAsia" w:ascii="仿宋" w:hAnsi="仿宋" w:eastAsia="仿宋" w:cs="仿宋_GB2312"/>
          <w:b/>
          <w:sz w:val="30"/>
          <w:szCs w:val="30"/>
        </w:rPr>
        <w:t>28.</w:t>
      </w:r>
      <w:r>
        <w:rPr>
          <w:rFonts w:hint="eastAsia" w:ascii="仿宋" w:hAnsi="仿宋" w:eastAsia="仿宋" w:cs="仿宋_GB2312"/>
          <w:b/>
          <w:bCs/>
          <w:sz w:val="30"/>
          <w:szCs w:val="30"/>
        </w:rPr>
        <w:t>第（二十八）条</w:t>
      </w:r>
      <w:r>
        <w:rPr>
          <w:rFonts w:hint="eastAsia" w:ascii="仿宋" w:hAnsi="仿宋" w:eastAsia="仿宋"/>
          <w:color w:val="171A1D"/>
          <w:sz w:val="30"/>
          <w:szCs w:val="30"/>
          <w:shd w:val="clear" w:color="auto" w:fill="FFFFFF"/>
        </w:rPr>
        <w:t>鼓励跨境电子商务境外注册和国际认证。对年跨境电子商务网络交易额300万美元以上的企业，在出口目的地国注册自有商标和开展国际认证的，给予核定（商标注册、国际认证）费用 70%的资金扶持，每家企业补助不超过25万元。</w:t>
      </w:r>
    </w:p>
    <w:p>
      <w:pPr>
        <w:spacing w:line="520" w:lineRule="exact"/>
        <w:ind w:firstLine="602" w:firstLineChars="200"/>
        <w:jc w:val="left"/>
        <w:rPr>
          <w:rFonts w:ascii="仿宋" w:hAnsi="仿宋" w:eastAsia="仿宋" w:cs="仿宋_GB2312"/>
          <w:sz w:val="30"/>
          <w:szCs w:val="30"/>
        </w:rPr>
      </w:pPr>
      <w:r>
        <w:rPr>
          <w:rFonts w:hint="eastAsia" w:ascii="仿宋" w:hAnsi="仿宋" w:eastAsia="仿宋" w:cs="仿宋_GB2312"/>
          <w:b/>
          <w:sz w:val="30"/>
          <w:szCs w:val="30"/>
        </w:rPr>
        <w:t>29.</w:t>
      </w:r>
      <w:r>
        <w:rPr>
          <w:rFonts w:hint="eastAsia" w:ascii="仿宋" w:hAnsi="仿宋" w:eastAsia="仿宋" w:cs="仿宋_GB2312"/>
          <w:b/>
          <w:bCs/>
          <w:sz w:val="30"/>
          <w:szCs w:val="30"/>
        </w:rPr>
        <w:t>第（二十九）条</w:t>
      </w:r>
      <w:r>
        <w:rPr>
          <w:rFonts w:hint="eastAsia" w:ascii="仿宋" w:hAnsi="仿宋" w:eastAsia="仿宋"/>
          <w:color w:val="171A1D"/>
          <w:sz w:val="30"/>
          <w:szCs w:val="30"/>
          <w:shd w:val="clear" w:color="auto" w:fill="FFFFFF"/>
        </w:rPr>
        <w:t>支持跨境电商平台建设。对企业自建跨境电商平台，正式运营满1年且平台年度网络交易额首次达到3000万元的，补助 30万元；每提高1000万元，再追加奖励10万元，单个平台累计奖励最高100万元。</w:t>
      </w:r>
    </w:p>
    <w:p>
      <w:pPr>
        <w:spacing w:line="520" w:lineRule="exact"/>
        <w:ind w:firstLine="602" w:firstLineChars="200"/>
        <w:jc w:val="left"/>
        <w:rPr>
          <w:rFonts w:ascii="仿宋" w:hAnsi="仿宋" w:eastAsia="仿宋" w:cs="仿宋_GB2312"/>
          <w:sz w:val="30"/>
          <w:szCs w:val="30"/>
        </w:rPr>
      </w:pPr>
      <w:r>
        <w:rPr>
          <w:rFonts w:hint="eastAsia" w:ascii="仿宋" w:hAnsi="仿宋" w:eastAsia="仿宋" w:cs="仿宋_GB2312"/>
          <w:b/>
          <w:sz w:val="30"/>
          <w:szCs w:val="30"/>
        </w:rPr>
        <w:t>30.</w:t>
      </w:r>
      <w:r>
        <w:rPr>
          <w:rFonts w:hint="eastAsia" w:ascii="仿宋" w:hAnsi="仿宋" w:eastAsia="仿宋"/>
          <w:b/>
          <w:color w:val="171A1D"/>
          <w:sz w:val="30"/>
          <w:szCs w:val="30"/>
          <w:shd w:val="clear" w:color="auto" w:fill="FFFFFF"/>
        </w:rPr>
        <w:t>第（三十）条</w:t>
      </w:r>
      <w:r>
        <w:rPr>
          <w:rFonts w:hint="eastAsia" w:ascii="仿宋" w:hAnsi="仿宋" w:eastAsia="仿宋"/>
          <w:color w:val="171A1D"/>
          <w:sz w:val="30"/>
          <w:szCs w:val="30"/>
          <w:shd w:val="clear" w:color="auto" w:fill="FFFFFF"/>
        </w:rPr>
        <w:t>支持企业境外投资。对经商务部门批准（备案），企业境外资源开发、境外收购项目、境外生产企业、境外营销网络及增资、并购等境外投予以奖励。</w:t>
      </w:r>
    </w:p>
    <w:p>
      <w:pPr>
        <w:spacing w:line="520" w:lineRule="exact"/>
        <w:ind w:firstLine="602" w:firstLineChars="200"/>
        <w:jc w:val="left"/>
        <w:rPr>
          <w:rFonts w:ascii="仿宋" w:hAnsi="仿宋" w:eastAsia="仿宋" w:cs="仿宋_GB2312"/>
          <w:sz w:val="30"/>
          <w:szCs w:val="30"/>
        </w:rPr>
      </w:pPr>
      <w:r>
        <w:rPr>
          <w:rFonts w:hint="eastAsia" w:ascii="仿宋" w:hAnsi="仿宋" w:eastAsia="仿宋" w:cs="仿宋_GB2312"/>
          <w:b/>
          <w:sz w:val="30"/>
          <w:szCs w:val="30"/>
        </w:rPr>
        <w:t>31.</w:t>
      </w:r>
      <w:r>
        <w:rPr>
          <w:rFonts w:hint="eastAsia" w:ascii="仿宋" w:hAnsi="仿宋" w:eastAsia="仿宋"/>
          <w:b/>
          <w:color w:val="171A1D"/>
          <w:sz w:val="30"/>
          <w:szCs w:val="30"/>
          <w:shd w:val="clear" w:color="auto" w:fill="FFFFFF"/>
        </w:rPr>
        <w:t>第（三十一）条</w:t>
      </w:r>
      <w:r>
        <w:rPr>
          <w:rFonts w:hint="eastAsia" w:ascii="仿宋" w:hAnsi="仿宋" w:eastAsia="仿宋"/>
          <w:color w:val="171A1D"/>
          <w:sz w:val="30"/>
          <w:szCs w:val="30"/>
          <w:shd w:val="clear" w:color="auto" w:fill="FFFFFF"/>
        </w:rPr>
        <w:t>支持企业对外承包工程。开展对外承包工程的企业，按年度营业额予以奖励。</w:t>
      </w:r>
    </w:p>
    <w:p>
      <w:pPr>
        <w:spacing w:line="520" w:lineRule="exact"/>
        <w:ind w:firstLine="602" w:firstLineChars="200"/>
        <w:jc w:val="left"/>
        <w:rPr>
          <w:rFonts w:ascii="仿宋" w:hAnsi="仿宋" w:eastAsia="仿宋" w:cs="仿宋"/>
          <w:sz w:val="30"/>
          <w:szCs w:val="30"/>
        </w:rPr>
      </w:pPr>
      <w:r>
        <w:rPr>
          <w:rFonts w:hint="eastAsia" w:ascii="仿宋" w:hAnsi="仿宋" w:eastAsia="仿宋" w:cs="仿宋"/>
          <w:b/>
          <w:sz w:val="30"/>
          <w:szCs w:val="30"/>
        </w:rPr>
        <w:t>32.</w:t>
      </w:r>
      <w:r>
        <w:rPr>
          <w:rFonts w:hint="eastAsia" w:ascii="仿宋" w:hAnsi="仿宋" w:eastAsia="仿宋"/>
          <w:b/>
          <w:color w:val="171A1D"/>
          <w:sz w:val="30"/>
          <w:szCs w:val="30"/>
          <w:shd w:val="clear" w:color="auto" w:fill="FFFFFF"/>
        </w:rPr>
        <w:t>第（三十二）条</w:t>
      </w:r>
      <w:r>
        <w:rPr>
          <w:rFonts w:hint="eastAsia" w:ascii="仿宋" w:hAnsi="仿宋" w:eastAsia="仿宋"/>
          <w:color w:val="171A1D"/>
          <w:sz w:val="30"/>
          <w:szCs w:val="30"/>
          <w:shd w:val="clear" w:color="auto" w:fill="FFFFFF"/>
        </w:rPr>
        <w:t>支持化解“走出去”风险。对企业“走出去”投保信用保险的，给予保费补助。</w:t>
      </w:r>
    </w:p>
    <w:p>
      <w:pPr>
        <w:spacing w:line="520" w:lineRule="exact"/>
        <w:ind w:firstLine="602" w:firstLineChars="200"/>
        <w:jc w:val="left"/>
        <w:rPr>
          <w:rFonts w:ascii="仿宋" w:hAnsi="仿宋" w:eastAsia="仿宋" w:cs="仿宋"/>
          <w:b/>
          <w:sz w:val="30"/>
          <w:szCs w:val="30"/>
        </w:rPr>
      </w:pPr>
      <w:r>
        <w:rPr>
          <w:rFonts w:hint="eastAsia" w:ascii="仿宋" w:hAnsi="仿宋" w:eastAsia="仿宋" w:cs="仿宋"/>
          <w:b/>
          <w:sz w:val="30"/>
          <w:szCs w:val="30"/>
        </w:rPr>
        <w:t>33.</w:t>
      </w:r>
      <w:r>
        <w:rPr>
          <w:rFonts w:hint="eastAsia" w:ascii="仿宋" w:hAnsi="仿宋" w:eastAsia="仿宋"/>
          <w:b/>
          <w:color w:val="171A1D"/>
          <w:sz w:val="30"/>
          <w:szCs w:val="30"/>
          <w:shd w:val="clear" w:color="auto" w:fill="FFFFFF"/>
        </w:rPr>
        <w:t>第（</w:t>
      </w:r>
      <w:r>
        <w:rPr>
          <w:rFonts w:hint="eastAsia" w:ascii="仿宋" w:hAnsi="仿宋" w:eastAsia="仿宋" w:cs="仿宋"/>
          <w:b/>
          <w:sz w:val="30"/>
          <w:szCs w:val="30"/>
        </w:rPr>
        <w:t>三十三）条</w:t>
      </w:r>
      <w:r>
        <w:rPr>
          <w:rFonts w:hint="eastAsia" w:ascii="仿宋" w:hAnsi="仿宋" w:eastAsia="仿宋" w:cs="仿宋"/>
          <w:sz w:val="30"/>
          <w:szCs w:val="30"/>
        </w:rPr>
        <w:t>盯引重大引擎项目。鼓励引进产业带动强、投资额度大的战略性、引擎性项目。对新引进符合上虞产业发展导向的特别重大外资项目、世界 500 强（三年内入选《财富》世界500强榜单的，下同）、境外行业龙头企业等，给予综合政策扶持。</w:t>
      </w:r>
      <w:r>
        <w:rPr>
          <w:rFonts w:hint="eastAsia" w:ascii="仿宋" w:hAnsi="仿宋" w:eastAsia="仿宋" w:cs="仿宋"/>
          <w:b/>
          <w:sz w:val="30"/>
          <w:szCs w:val="30"/>
        </w:rPr>
        <w:cr/>
      </w:r>
      <w:r>
        <w:rPr>
          <w:rFonts w:hint="eastAsia" w:ascii="仿宋" w:hAnsi="仿宋" w:eastAsia="仿宋" w:cs="仿宋"/>
          <w:b/>
          <w:sz w:val="30"/>
          <w:szCs w:val="30"/>
        </w:rPr>
        <w:t xml:space="preserve">    34.第（三十四）条</w:t>
      </w:r>
      <w:r>
        <w:rPr>
          <w:rFonts w:hint="eastAsia" w:ascii="仿宋" w:hAnsi="仿宋" w:eastAsia="仿宋" w:cs="仿宋"/>
          <w:sz w:val="30"/>
          <w:szCs w:val="30"/>
        </w:rPr>
        <w:t xml:space="preserve">加大外资利用奖励。境外投资者在我区设立独立法人企业，符合上虞产业发展的外资项目（以实物、现金等形式到资），分档按比例奖励，鼓励引导境外资本返程投资，单个项目最高奖励3000万元。高技术产业外资、境外投资者属世界500强的，在上述奖励基础上，再增加 0.3%比例奖励，单个项目最高奖励50万元。 </w:t>
      </w:r>
      <w:r>
        <w:rPr>
          <w:rFonts w:hint="eastAsia" w:ascii="仿宋" w:hAnsi="仿宋" w:eastAsia="仿宋" w:cs="仿宋"/>
          <w:sz w:val="30"/>
          <w:szCs w:val="30"/>
        </w:rPr>
        <w:cr/>
      </w:r>
      <w:r>
        <w:rPr>
          <w:rFonts w:hint="eastAsia" w:ascii="仿宋" w:hAnsi="仿宋" w:eastAsia="仿宋" w:cs="仿宋"/>
          <w:sz w:val="30"/>
          <w:szCs w:val="30"/>
        </w:rPr>
        <w:t xml:space="preserve">    </w:t>
      </w:r>
      <w:r>
        <w:rPr>
          <w:rFonts w:hint="eastAsia" w:ascii="仿宋" w:hAnsi="仿宋" w:eastAsia="仿宋" w:cs="仿宋"/>
          <w:b/>
          <w:sz w:val="30"/>
          <w:szCs w:val="30"/>
        </w:rPr>
        <w:t>35.第（三十五）条</w:t>
      </w:r>
      <w:r>
        <w:rPr>
          <w:rFonts w:hint="eastAsia" w:ascii="仿宋" w:hAnsi="仿宋" w:eastAsia="仿宋" w:cs="仿宋"/>
          <w:sz w:val="30"/>
          <w:szCs w:val="30"/>
        </w:rPr>
        <w:t>加大区外内资利用奖励。对境内区外投资者（含企业、机构、自然人）在上虞投资工业、农业、服务业等产业项目(不含房地产、金融以及投资管理等项目，下同)，自设立起三年内、项目开工建设后，按公司实际到位的注册资金(2000万元以上)按类别奖励。单个企业最高不超过 120 万元。</w:t>
      </w:r>
      <w:r>
        <w:rPr>
          <w:rFonts w:hint="eastAsia" w:ascii="仿宋" w:hAnsi="仿宋" w:eastAsia="仿宋" w:cs="仿宋"/>
          <w:b/>
          <w:sz w:val="30"/>
          <w:szCs w:val="30"/>
        </w:rPr>
        <w:cr/>
      </w:r>
      <w:r>
        <w:rPr>
          <w:rFonts w:hint="eastAsia" w:ascii="仿宋" w:hAnsi="仿宋" w:eastAsia="仿宋" w:cs="仿宋"/>
          <w:b/>
          <w:sz w:val="30"/>
          <w:szCs w:val="30"/>
        </w:rPr>
        <w:t xml:space="preserve">    36.第（三十六）条</w:t>
      </w:r>
      <w:r>
        <w:rPr>
          <w:rFonts w:hint="eastAsia" w:ascii="仿宋" w:hAnsi="仿宋" w:eastAsia="仿宋" w:cs="仿宋"/>
          <w:sz w:val="30"/>
          <w:szCs w:val="30"/>
        </w:rPr>
        <w:t>加大全球化招商推进力度。完善海内外招商网络体系，对合作建立境外招商引资工作站、委托开展招商资源拓展的第三方合作机构，每年给予工作经费支持，最高不超过200万元。对成功引进符合上虞产业导向的重大外资项目的机构，满足条件后，区及项目落户地分别按照项目公司实到外资的0.5%给予奖励，最高不超过 200 万元。境外投资者属世界500强项目、实到外资3000万美元以上或总投资10亿元以上项目可“一事一方案”。</w:t>
      </w:r>
      <w:r>
        <w:rPr>
          <w:rFonts w:hint="eastAsia" w:ascii="仿宋" w:hAnsi="仿宋" w:eastAsia="仿宋" w:cs="仿宋"/>
          <w:b/>
          <w:sz w:val="30"/>
          <w:szCs w:val="30"/>
        </w:rPr>
        <w:cr/>
      </w:r>
      <w:r>
        <w:rPr>
          <w:rFonts w:hint="eastAsia" w:ascii="仿宋" w:hAnsi="仿宋" w:eastAsia="仿宋" w:cs="仿宋"/>
          <w:b/>
          <w:sz w:val="30"/>
          <w:szCs w:val="30"/>
        </w:rPr>
        <w:t xml:space="preserve">    37.第（三十七）条</w:t>
      </w:r>
      <w:r>
        <w:rPr>
          <w:rFonts w:hint="eastAsia" w:ascii="仿宋" w:hAnsi="仿宋" w:eastAsia="仿宋" w:cs="仿宋"/>
          <w:sz w:val="30"/>
          <w:szCs w:val="30"/>
        </w:rPr>
        <w:t xml:space="preserve">加大项目要素保障。对列入省重大产业项目计划和省市县长项目工程的项目，在用地、环保、能耗、融资等方面给予重点保障、综合扶持；对外商投资企业提供相关便利。 </w:t>
      </w:r>
      <w:r>
        <w:rPr>
          <w:rFonts w:hint="eastAsia" w:ascii="仿宋" w:hAnsi="仿宋" w:eastAsia="仿宋" w:cs="仿宋"/>
          <w:sz w:val="30"/>
          <w:szCs w:val="30"/>
        </w:rPr>
        <w:cr/>
      </w:r>
      <w:r>
        <w:rPr>
          <w:rFonts w:hint="eastAsia" w:ascii="仿宋" w:hAnsi="仿宋" w:eastAsia="仿宋" w:cs="仿宋"/>
          <w:sz w:val="30"/>
          <w:szCs w:val="30"/>
        </w:rPr>
        <w:t xml:space="preserve">    </w:t>
      </w:r>
      <w:r>
        <w:rPr>
          <w:rFonts w:hint="eastAsia" w:ascii="仿宋" w:hAnsi="仿宋" w:eastAsia="仿宋" w:cs="仿宋"/>
          <w:b/>
          <w:sz w:val="30"/>
          <w:szCs w:val="30"/>
        </w:rPr>
        <w:t>38.第（三十八）条</w:t>
      </w:r>
      <w:r>
        <w:rPr>
          <w:rFonts w:hint="eastAsia" w:ascii="仿宋" w:hAnsi="仿宋" w:eastAsia="仿宋" w:cs="仿宋"/>
          <w:sz w:val="30"/>
          <w:szCs w:val="30"/>
        </w:rPr>
        <w:t>加大金融支持力度。发挥政府产业基金引领作用，重点支持世界500强企业、全球行业龙头企业的投资，以及重大跨国并购项目返程投资。外商投资企业同等享受民营企业资本市场发展相关扶持政策。</w:t>
      </w:r>
      <w:r>
        <w:rPr>
          <w:rFonts w:hint="eastAsia" w:ascii="仿宋" w:hAnsi="仿宋" w:eastAsia="仿宋" w:cs="仿宋"/>
          <w:sz w:val="30"/>
          <w:szCs w:val="30"/>
        </w:rPr>
        <w:cr/>
      </w:r>
      <w:r>
        <w:rPr>
          <w:rFonts w:hint="eastAsia" w:ascii="仿宋" w:hAnsi="仿宋" w:eastAsia="仿宋" w:cs="仿宋"/>
          <w:sz w:val="30"/>
          <w:szCs w:val="30"/>
        </w:rPr>
        <w:t xml:space="preserve">    </w:t>
      </w:r>
      <w:r>
        <w:rPr>
          <w:rFonts w:hint="eastAsia" w:ascii="仿宋" w:hAnsi="仿宋" w:eastAsia="仿宋" w:cs="仿宋"/>
          <w:b/>
          <w:sz w:val="30"/>
          <w:szCs w:val="30"/>
        </w:rPr>
        <w:t>39.第（三十九）条</w:t>
      </w:r>
      <w:r>
        <w:rPr>
          <w:rFonts w:hint="eastAsia" w:ascii="仿宋" w:hAnsi="仿宋" w:eastAsia="仿宋" w:cs="仿宋"/>
          <w:sz w:val="30"/>
          <w:szCs w:val="30"/>
        </w:rPr>
        <w:t>支持外资企业研发创新。外资研发机构符合条件的享受与内资研发机构同等待遇，对科学研究机构、技术开发机构进口国内不能生产或性能不能满足需求的科学研究、科技开发和教学用品，按浙商务联发〔2021〕161号文件规定免征进口关税和进口环节增值税、消费税。落实外资企业研发创新税收优惠政策。</w:t>
      </w:r>
    </w:p>
    <w:p>
      <w:pPr>
        <w:spacing w:line="520" w:lineRule="exact"/>
        <w:ind w:firstLine="642" w:firstLineChars="200"/>
        <w:jc w:val="left"/>
        <w:rPr>
          <w:rFonts w:ascii="仿宋_GB2312" w:hAnsi="黑体" w:eastAsia="仿宋_GB2312"/>
          <w:b/>
          <w:bCs/>
          <w:sz w:val="32"/>
          <w:szCs w:val="32"/>
        </w:rPr>
      </w:pPr>
      <w:r>
        <w:rPr>
          <w:rFonts w:hint="eastAsia" w:ascii="仿宋_GB2312" w:hAnsi="黑体" w:eastAsia="仿宋_GB2312"/>
          <w:b/>
          <w:bCs/>
          <w:sz w:val="32"/>
          <w:szCs w:val="32"/>
        </w:rPr>
        <w:t>四、适用范围</w:t>
      </w:r>
    </w:p>
    <w:p>
      <w:pPr>
        <w:spacing w:line="52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本政策适用于绍兴市上虞区</w:t>
      </w:r>
    </w:p>
    <w:p>
      <w:pPr>
        <w:spacing w:line="520" w:lineRule="exact"/>
        <w:ind w:firstLine="642" w:firstLineChars="200"/>
        <w:jc w:val="left"/>
        <w:rPr>
          <w:rFonts w:ascii="仿宋_GB2312" w:hAnsi="黑体" w:eastAsia="仿宋_GB2312"/>
          <w:sz w:val="32"/>
          <w:szCs w:val="32"/>
        </w:rPr>
      </w:pPr>
      <w:r>
        <w:rPr>
          <w:rFonts w:hint="eastAsia" w:ascii="仿宋_GB2312" w:hAnsi="黑体" w:eastAsia="仿宋_GB2312"/>
          <w:b/>
          <w:bCs/>
          <w:sz w:val="32"/>
          <w:szCs w:val="32"/>
        </w:rPr>
        <w:t>五、解读机关、解读人及联系方式</w:t>
      </w:r>
    </w:p>
    <w:p>
      <w:pPr>
        <w:spacing w:line="52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解读机关：绍兴市上虞区商务局、投资促进中心</w:t>
      </w:r>
    </w:p>
    <w:p>
      <w:pPr>
        <w:spacing w:line="52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解 读 人：戚焕焕、张芳芳、赵敏琪、徐梦莹</w:t>
      </w:r>
    </w:p>
    <w:p>
      <w:pPr>
        <w:spacing w:line="52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联系电话：82125484、</w:t>
      </w:r>
      <w:r>
        <w:rPr>
          <w:rFonts w:ascii="仿宋_GB2312" w:hAnsi="黑体" w:eastAsia="仿宋_GB2312"/>
          <w:sz w:val="32"/>
          <w:szCs w:val="32"/>
        </w:rPr>
        <w:t>82212772</w:t>
      </w:r>
      <w:r>
        <w:rPr>
          <w:rFonts w:hint="eastAsia" w:ascii="仿宋_GB2312" w:hAnsi="黑体" w:eastAsia="仿宋_GB2312"/>
          <w:sz w:val="32"/>
          <w:szCs w:val="32"/>
        </w:rPr>
        <w:t>、</w:t>
      </w:r>
      <w:r>
        <w:rPr>
          <w:rFonts w:ascii="仿宋_GB2312" w:hAnsi="黑体" w:eastAsia="仿宋_GB2312"/>
          <w:sz w:val="32"/>
          <w:szCs w:val="32"/>
        </w:rPr>
        <w:t>89283605</w:t>
      </w:r>
      <w:r>
        <w:rPr>
          <w:rFonts w:hint="eastAsia" w:ascii="仿宋_GB2312" w:hAnsi="黑体" w:eastAsia="仿宋_GB2312"/>
          <w:sz w:val="32"/>
          <w:szCs w:val="32"/>
        </w:rPr>
        <w:t>、</w:t>
      </w:r>
      <w:r>
        <w:rPr>
          <w:rFonts w:ascii="仿宋_GB2312" w:hAnsi="黑体" w:eastAsia="仿宋_GB2312"/>
          <w:sz w:val="32"/>
          <w:szCs w:val="32"/>
        </w:rPr>
        <w:t>82195691</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A89885"/>
    <w:multiLevelType w:val="singleLevel"/>
    <w:tmpl w:val="95A8988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1B4"/>
    <w:rsid w:val="0001620E"/>
    <w:rsid w:val="000E36B1"/>
    <w:rsid w:val="001041B4"/>
    <w:rsid w:val="001A4F6F"/>
    <w:rsid w:val="001E10BB"/>
    <w:rsid w:val="00204E00"/>
    <w:rsid w:val="00251DC2"/>
    <w:rsid w:val="002D7B6C"/>
    <w:rsid w:val="003208A0"/>
    <w:rsid w:val="00325FC2"/>
    <w:rsid w:val="003E5A80"/>
    <w:rsid w:val="004B1410"/>
    <w:rsid w:val="00555787"/>
    <w:rsid w:val="005A5856"/>
    <w:rsid w:val="005C5910"/>
    <w:rsid w:val="005D3A3B"/>
    <w:rsid w:val="005D7E62"/>
    <w:rsid w:val="00647A98"/>
    <w:rsid w:val="006C5478"/>
    <w:rsid w:val="0071732F"/>
    <w:rsid w:val="008A4105"/>
    <w:rsid w:val="009254CB"/>
    <w:rsid w:val="00945B21"/>
    <w:rsid w:val="009E380F"/>
    <w:rsid w:val="00A34EEE"/>
    <w:rsid w:val="00A9682C"/>
    <w:rsid w:val="00B74162"/>
    <w:rsid w:val="00B80DE1"/>
    <w:rsid w:val="00BE43BF"/>
    <w:rsid w:val="00BF7D76"/>
    <w:rsid w:val="00C95195"/>
    <w:rsid w:val="00CC11F0"/>
    <w:rsid w:val="00CD6CA3"/>
    <w:rsid w:val="00D026B7"/>
    <w:rsid w:val="00D17AEA"/>
    <w:rsid w:val="00D2002D"/>
    <w:rsid w:val="00DA6979"/>
    <w:rsid w:val="00DF770A"/>
    <w:rsid w:val="00FA7D14"/>
    <w:rsid w:val="095B5248"/>
    <w:rsid w:val="22237FFE"/>
    <w:rsid w:val="3242416A"/>
    <w:rsid w:val="5D9C068F"/>
    <w:rsid w:val="D78E862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5"/>
    <w:qFormat/>
    <w:uiPriority w:val="0"/>
    <w:rPr>
      <w:rFonts w:ascii="宋体" w:hAnsi="Courier New" w:cs="Courier New"/>
      <w:kern w:val="2"/>
      <w:szCs w:val="21"/>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sz w:val="24"/>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none"/>
    </w:rPr>
  </w:style>
  <w:style w:type="character" w:customStyle="1" w:styleId="11">
    <w:name w:val="bsharetext"/>
    <w:basedOn w:val="7"/>
    <w:qFormat/>
    <w:uiPriority w:val="0"/>
  </w:style>
  <w:style w:type="paragraph" w:customStyle="1" w:styleId="12">
    <w:name w:val="列出段落1"/>
    <w:basedOn w:val="1"/>
    <w:qFormat/>
    <w:uiPriority w:val="34"/>
    <w:pPr>
      <w:ind w:firstLine="420" w:firstLineChars="200"/>
    </w:pPr>
  </w:style>
  <w:style w:type="character" w:customStyle="1" w:styleId="13">
    <w:name w:val="页眉 Char"/>
    <w:basedOn w:val="7"/>
    <w:link w:val="4"/>
    <w:qFormat/>
    <w:uiPriority w:val="0"/>
    <w:rPr>
      <w:rFonts w:ascii="Calibri" w:hAnsi="Calibri" w:cs="黑体"/>
      <w:sz w:val="18"/>
      <w:szCs w:val="18"/>
    </w:rPr>
  </w:style>
  <w:style w:type="character" w:customStyle="1" w:styleId="14">
    <w:name w:val="页脚 Char"/>
    <w:basedOn w:val="7"/>
    <w:link w:val="3"/>
    <w:qFormat/>
    <w:uiPriority w:val="0"/>
    <w:rPr>
      <w:rFonts w:ascii="Calibri" w:hAnsi="Calibri" w:cs="黑体"/>
      <w:sz w:val="18"/>
      <w:szCs w:val="18"/>
    </w:rPr>
  </w:style>
  <w:style w:type="character" w:customStyle="1" w:styleId="15">
    <w:name w:val="纯文本 Char"/>
    <w:basedOn w:val="7"/>
    <w:link w:val="2"/>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8</Pages>
  <Words>662</Words>
  <Characters>3777</Characters>
  <Lines>31</Lines>
  <Paragraphs>8</Paragraphs>
  <TotalTime>76</TotalTime>
  <ScaleCrop>false</ScaleCrop>
  <LinksUpToDate>false</LinksUpToDate>
  <CharactersWithSpaces>4431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雨天下雪</dc:creator>
  <cp:lastModifiedBy>aaa</cp:lastModifiedBy>
  <dcterms:modified xsi:type="dcterms:W3CDTF">2023-05-11T14:52:36Z</dcterms:modified>
  <dc:title>《绍兴市上虞区加快科技创新若干政策》</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